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BDF59">
      <w:pPr>
        <w:pStyle w:val="3"/>
        <w:spacing w:before="40" w:after="40" w:line="360" w:lineRule="auto"/>
        <w:ind w:firstLine="3092" w:firstLineChars="700"/>
        <w:jc w:val="left"/>
        <w:rPr>
          <w:rFonts w:hint="eastAsia" w:cs="Times New Roman" w:asciiTheme="majorEastAsia" w:hAnsiTheme="majorEastAsia"/>
          <w:sz w:val="44"/>
          <w:szCs w:val="44"/>
          <w:lang w:val="zh-CN"/>
        </w:rPr>
      </w:pPr>
      <w:r>
        <w:rPr>
          <w:rFonts w:hint="eastAsia" w:cs="Times New Roman" w:asciiTheme="majorEastAsia" w:hAnsiTheme="majorEastAsia"/>
          <w:sz w:val="44"/>
          <w:szCs w:val="44"/>
          <w:lang w:val="zh-CN"/>
        </w:rPr>
        <w:t>评分标准</w:t>
      </w:r>
    </w:p>
    <w:p w14:paraId="45387E2C"/>
    <w:tbl>
      <w:tblPr>
        <w:tblStyle w:val="6"/>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225"/>
        <w:gridCol w:w="1195"/>
        <w:gridCol w:w="660"/>
        <w:gridCol w:w="6858"/>
      </w:tblGrid>
      <w:tr w14:paraId="72EB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3" w:hRule="atLeast"/>
          <w:tblHeader/>
          <w:jc w:val="center"/>
        </w:trPr>
        <w:tc>
          <w:tcPr>
            <w:tcW w:w="1225" w:type="dxa"/>
            <w:shd w:val="clear" w:color="auto" w:fill="F1F1F1"/>
            <w:vAlign w:val="center"/>
          </w:tcPr>
          <w:p w14:paraId="66EEC0EE">
            <w:pPr>
              <w:widowControl/>
              <w:spacing w:line="360" w:lineRule="auto"/>
              <w:jc w:val="center"/>
              <w:textAlignment w:val="center"/>
              <w:rPr>
                <w:rFonts w:ascii="宋体" w:hAnsi="宋体" w:cs="宋体"/>
                <w:b/>
                <w:sz w:val="24"/>
                <w:szCs w:val="24"/>
              </w:rPr>
            </w:pPr>
            <w:r>
              <w:rPr>
                <w:rFonts w:hint="eastAsia" w:ascii="宋体" w:hAnsi="宋体" w:cs="宋体"/>
                <w:b/>
                <w:kern w:val="0"/>
                <w:sz w:val="24"/>
                <w:szCs w:val="24"/>
                <w:lang w:bidi="ar"/>
              </w:rPr>
              <w:t>评分项目</w:t>
            </w:r>
          </w:p>
        </w:tc>
        <w:tc>
          <w:tcPr>
            <w:tcW w:w="1195" w:type="dxa"/>
            <w:shd w:val="clear" w:color="auto" w:fill="F1F1F1"/>
            <w:vAlign w:val="center"/>
          </w:tcPr>
          <w:p w14:paraId="6B7C65E5">
            <w:pPr>
              <w:widowControl/>
              <w:spacing w:line="360" w:lineRule="auto"/>
              <w:jc w:val="center"/>
              <w:textAlignment w:val="center"/>
              <w:rPr>
                <w:rFonts w:ascii="宋体" w:hAnsi="宋体" w:cs="宋体"/>
                <w:b/>
                <w:sz w:val="24"/>
                <w:szCs w:val="24"/>
              </w:rPr>
            </w:pPr>
            <w:r>
              <w:rPr>
                <w:rFonts w:hint="eastAsia" w:ascii="宋体" w:hAnsi="宋体" w:cs="宋体"/>
                <w:b/>
                <w:sz w:val="24"/>
                <w:szCs w:val="24"/>
              </w:rPr>
              <w:t>评分分项</w:t>
            </w:r>
          </w:p>
        </w:tc>
        <w:tc>
          <w:tcPr>
            <w:tcW w:w="660" w:type="dxa"/>
            <w:shd w:val="clear" w:color="auto" w:fill="F1F1F1"/>
            <w:vAlign w:val="center"/>
          </w:tcPr>
          <w:p w14:paraId="63A463D1">
            <w:pPr>
              <w:widowControl/>
              <w:spacing w:line="360" w:lineRule="auto"/>
              <w:jc w:val="center"/>
              <w:textAlignment w:val="center"/>
              <w:rPr>
                <w:rFonts w:ascii="宋体" w:hAnsi="宋体" w:cs="宋体"/>
                <w:b/>
                <w:sz w:val="24"/>
                <w:szCs w:val="24"/>
              </w:rPr>
            </w:pPr>
            <w:r>
              <w:rPr>
                <w:rFonts w:hint="eastAsia" w:ascii="宋体" w:hAnsi="宋体" w:cs="宋体"/>
                <w:b/>
                <w:sz w:val="24"/>
                <w:szCs w:val="24"/>
              </w:rPr>
              <w:t>分值</w:t>
            </w:r>
          </w:p>
        </w:tc>
        <w:tc>
          <w:tcPr>
            <w:tcW w:w="6858" w:type="dxa"/>
            <w:shd w:val="clear" w:color="auto" w:fill="F1F1F1"/>
            <w:vAlign w:val="center"/>
          </w:tcPr>
          <w:p w14:paraId="24A0F540">
            <w:pPr>
              <w:widowControl/>
              <w:spacing w:line="360" w:lineRule="auto"/>
              <w:jc w:val="center"/>
              <w:textAlignment w:val="center"/>
              <w:rPr>
                <w:rFonts w:ascii="宋体" w:hAnsi="宋体" w:cs="宋体"/>
                <w:b/>
                <w:sz w:val="24"/>
                <w:szCs w:val="24"/>
              </w:rPr>
            </w:pPr>
            <w:r>
              <w:rPr>
                <w:rFonts w:hint="eastAsia" w:ascii="宋体" w:hAnsi="宋体" w:cs="宋体"/>
                <w:b/>
                <w:sz w:val="24"/>
                <w:szCs w:val="24"/>
              </w:rPr>
              <w:t>子项目</w:t>
            </w:r>
          </w:p>
        </w:tc>
      </w:tr>
      <w:tr w14:paraId="2159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56" w:hRule="atLeast"/>
          <w:jc w:val="center"/>
        </w:trPr>
        <w:tc>
          <w:tcPr>
            <w:tcW w:w="1225" w:type="dxa"/>
            <w:vMerge w:val="restart"/>
            <w:vAlign w:val="center"/>
          </w:tcPr>
          <w:p w14:paraId="182265DE">
            <w:pPr>
              <w:widowControl/>
              <w:rPr>
                <w:rFonts w:ascii="宋体" w:hAnsi="宋体" w:cs="宋体"/>
                <w:color w:val="auto"/>
                <w:kern w:val="0"/>
                <w:sz w:val="24"/>
                <w:szCs w:val="24"/>
              </w:rPr>
            </w:pPr>
            <w:r>
              <w:rPr>
                <w:rFonts w:hint="eastAsia" w:ascii="宋体" w:hAnsi="宋体" w:cs="宋体"/>
                <w:color w:val="auto"/>
                <w:kern w:val="0"/>
                <w:sz w:val="24"/>
                <w:szCs w:val="24"/>
              </w:rPr>
              <w:t>技术部分</w:t>
            </w:r>
          </w:p>
          <w:p w14:paraId="385E84CF">
            <w:pPr>
              <w:widowControl/>
              <w:rPr>
                <w:rFonts w:ascii="宋体" w:hAnsi="宋体" w:cs="宋体"/>
                <w:color w:val="auto"/>
                <w:kern w:val="0"/>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40</w:t>
            </w:r>
            <w:r>
              <w:rPr>
                <w:rFonts w:hint="eastAsia" w:ascii="宋体" w:hAnsi="宋体" w:cs="宋体"/>
                <w:color w:val="auto"/>
                <w:kern w:val="0"/>
                <w:sz w:val="24"/>
                <w:szCs w:val="24"/>
              </w:rPr>
              <w:t>分）</w:t>
            </w:r>
          </w:p>
        </w:tc>
        <w:tc>
          <w:tcPr>
            <w:tcW w:w="1195" w:type="dxa"/>
            <w:vAlign w:val="center"/>
          </w:tcPr>
          <w:p w14:paraId="3F2689AF">
            <w:pPr>
              <w:jc w:val="center"/>
              <w:rPr>
                <w:rFonts w:ascii="宋体" w:hAnsi="宋体" w:eastAsia="宋体" w:cs="宋体"/>
                <w:color w:val="auto"/>
                <w:kern w:val="0"/>
                <w:sz w:val="24"/>
                <w:szCs w:val="24"/>
              </w:rPr>
            </w:pPr>
            <w:r>
              <w:rPr>
                <w:rFonts w:hint="eastAsia" w:ascii="宋体" w:hAnsi="宋体" w:cs="宋体"/>
                <w:color w:val="auto"/>
                <w:kern w:val="0"/>
                <w:sz w:val="24"/>
                <w:szCs w:val="24"/>
              </w:rPr>
              <w:t>服务质量及目标</w:t>
            </w:r>
          </w:p>
        </w:tc>
        <w:tc>
          <w:tcPr>
            <w:tcW w:w="660" w:type="dxa"/>
            <w:vAlign w:val="center"/>
          </w:tcPr>
          <w:p w14:paraId="0F07F884">
            <w:pPr>
              <w:jc w:val="center"/>
              <w:rPr>
                <w:rFonts w:hint="default"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8</w:t>
            </w:r>
          </w:p>
        </w:tc>
        <w:tc>
          <w:tcPr>
            <w:tcW w:w="6858" w:type="dxa"/>
            <w:vAlign w:val="center"/>
          </w:tcPr>
          <w:p w14:paraId="382EAB87">
            <w:pPr>
              <w:rPr>
                <w:rFonts w:ascii="宋体" w:hAnsi="宋体" w:eastAsia="宋体" w:cs="宋体"/>
                <w:color w:val="auto"/>
                <w:kern w:val="0"/>
                <w:sz w:val="24"/>
                <w:szCs w:val="24"/>
              </w:rPr>
            </w:pPr>
            <w:r>
              <w:rPr>
                <w:rFonts w:hint="eastAsia" w:ascii="宋体" w:hAnsi="宋体" w:cs="宋体"/>
                <w:color w:val="auto"/>
                <w:kern w:val="0"/>
                <w:sz w:val="24"/>
                <w:szCs w:val="24"/>
              </w:rPr>
              <w:t>运维服务目标、</w:t>
            </w:r>
            <w:r>
              <w:rPr>
                <w:rFonts w:hint="eastAsia" w:ascii="宋体" w:hAnsi="宋体" w:eastAsia="宋体" w:cs="宋体"/>
                <w:color w:val="auto"/>
                <w:kern w:val="0"/>
                <w:sz w:val="24"/>
                <w:szCs w:val="24"/>
              </w:rPr>
              <w:t>质量</w:t>
            </w:r>
            <w:r>
              <w:rPr>
                <w:rFonts w:hint="eastAsia" w:ascii="宋体" w:hAnsi="宋体" w:cs="宋体"/>
                <w:color w:val="auto"/>
                <w:kern w:val="0"/>
                <w:sz w:val="24"/>
                <w:szCs w:val="24"/>
              </w:rPr>
              <w:t>及服务流程方案；</w:t>
            </w:r>
            <w:r>
              <w:rPr>
                <w:rFonts w:hint="eastAsia" w:ascii="宋体" w:hAnsi="宋体" w:eastAsia="宋体" w:cs="宋体"/>
                <w:color w:val="auto"/>
                <w:sz w:val="24"/>
                <w:szCs w:val="24"/>
              </w:rPr>
              <w:t>质量控制目标得到合理分解，横向比较。内容合理、完整、可行得</w:t>
            </w: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sz w:val="24"/>
                <w:szCs w:val="24"/>
              </w:rPr>
              <w:t>分；内容在合理、完整、可行性方面一般，得</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sz w:val="24"/>
                <w:szCs w:val="24"/>
              </w:rPr>
              <w:t>分；内容在合理、完整、可行性方面差，得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-0分；未提供得不得分。</w:t>
            </w:r>
          </w:p>
        </w:tc>
      </w:tr>
      <w:tr w14:paraId="2457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atLeast"/>
          <w:jc w:val="center"/>
        </w:trPr>
        <w:tc>
          <w:tcPr>
            <w:tcW w:w="1225" w:type="dxa"/>
            <w:vMerge w:val="continue"/>
            <w:vAlign w:val="center"/>
          </w:tcPr>
          <w:p w14:paraId="64A761FC">
            <w:pPr>
              <w:widowControl/>
              <w:rPr>
                <w:rFonts w:ascii="宋体" w:hAnsi="宋体" w:cs="宋体"/>
                <w:color w:val="auto"/>
                <w:kern w:val="0"/>
                <w:sz w:val="24"/>
                <w:szCs w:val="24"/>
              </w:rPr>
            </w:pPr>
          </w:p>
        </w:tc>
        <w:tc>
          <w:tcPr>
            <w:tcW w:w="1195" w:type="dxa"/>
            <w:vAlign w:val="center"/>
          </w:tcPr>
          <w:p w14:paraId="0A801831">
            <w:pPr>
              <w:jc w:val="center"/>
              <w:rPr>
                <w:rFonts w:ascii="宋体" w:hAnsi="宋体" w:eastAsia="宋体" w:cs="宋体"/>
                <w:color w:val="auto"/>
                <w:kern w:val="0"/>
                <w:sz w:val="24"/>
                <w:szCs w:val="24"/>
              </w:rPr>
            </w:pPr>
            <w:r>
              <w:rPr>
                <w:rFonts w:hint="eastAsia" w:ascii="宋体" w:hAnsi="宋体" w:cs="宋体"/>
                <w:color w:val="auto"/>
                <w:kern w:val="0"/>
                <w:sz w:val="24"/>
                <w:szCs w:val="24"/>
              </w:rPr>
              <w:t>人员配备管理制度</w:t>
            </w:r>
          </w:p>
        </w:tc>
        <w:tc>
          <w:tcPr>
            <w:tcW w:w="660" w:type="dxa"/>
            <w:vAlign w:val="center"/>
          </w:tcPr>
          <w:p w14:paraId="19853B62">
            <w:pPr>
              <w:jc w:val="center"/>
              <w:rPr>
                <w:rFonts w:hint="default"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6</w:t>
            </w:r>
          </w:p>
        </w:tc>
        <w:tc>
          <w:tcPr>
            <w:tcW w:w="6858" w:type="dxa"/>
            <w:vAlign w:val="center"/>
          </w:tcPr>
          <w:p w14:paraId="03B988CE">
            <w:pPr>
              <w:rPr>
                <w:rFonts w:ascii="宋体" w:hAnsi="宋体" w:eastAsia="宋体" w:cs="宋体"/>
                <w:color w:val="auto"/>
                <w:kern w:val="0"/>
                <w:sz w:val="24"/>
                <w:szCs w:val="24"/>
              </w:rPr>
            </w:pPr>
            <w:r>
              <w:rPr>
                <w:rFonts w:hint="eastAsia" w:ascii="宋体" w:hAnsi="宋体" w:cs="宋体"/>
                <w:color w:val="auto"/>
                <w:kern w:val="0"/>
                <w:sz w:val="24"/>
                <w:szCs w:val="24"/>
              </w:rPr>
              <w:t>项目人员管理及管理办法、人员配置及职责、人员管理及培训，公司管理制度、人员管理制度。</w:t>
            </w:r>
            <w:r>
              <w:rPr>
                <w:rFonts w:hint="eastAsia" w:ascii="宋体" w:hAnsi="宋体" w:eastAsia="宋体" w:cs="宋体"/>
                <w:color w:val="auto"/>
                <w:sz w:val="24"/>
                <w:szCs w:val="24"/>
              </w:rPr>
              <w:t>合理性、能切合实际情况，内容明确、具体。内容合理、完整、可行得</w:t>
            </w:r>
            <w:r>
              <w:rPr>
                <w:rFonts w:hint="eastAsia" w:ascii="宋体" w:hAnsi="宋体" w:eastAsia="宋体" w:cs="宋体"/>
                <w:color w:val="auto"/>
                <w:kern w:val="0"/>
                <w:sz w:val="24"/>
                <w:szCs w:val="24"/>
                <w:lang w:val="en-US" w:eastAsia="zh-CN"/>
              </w:rPr>
              <w:t>6-5</w:t>
            </w:r>
            <w:r>
              <w:rPr>
                <w:rFonts w:hint="eastAsia" w:ascii="宋体" w:hAnsi="宋体" w:eastAsia="宋体" w:cs="宋体"/>
                <w:color w:val="auto"/>
                <w:sz w:val="24"/>
                <w:szCs w:val="24"/>
              </w:rPr>
              <w:t>分；内容在合理、完整、可行性方面一般，得</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sz w:val="24"/>
                <w:szCs w:val="24"/>
              </w:rPr>
              <w:t>分；内容在合理、完整、可行性方面差，得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-0分；未提供得不得分。</w:t>
            </w:r>
          </w:p>
        </w:tc>
      </w:tr>
      <w:tr w14:paraId="187A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32" w:hRule="atLeast"/>
          <w:jc w:val="center"/>
        </w:trPr>
        <w:tc>
          <w:tcPr>
            <w:tcW w:w="1225" w:type="dxa"/>
            <w:vMerge w:val="continue"/>
            <w:vAlign w:val="center"/>
          </w:tcPr>
          <w:p w14:paraId="4D012713">
            <w:pPr>
              <w:widowControl/>
              <w:rPr>
                <w:rFonts w:ascii="宋体" w:hAnsi="宋体" w:cs="宋体"/>
                <w:color w:val="auto"/>
                <w:kern w:val="0"/>
                <w:sz w:val="24"/>
                <w:szCs w:val="24"/>
              </w:rPr>
            </w:pPr>
          </w:p>
        </w:tc>
        <w:tc>
          <w:tcPr>
            <w:tcW w:w="1195" w:type="dxa"/>
            <w:vAlign w:val="center"/>
          </w:tcPr>
          <w:p w14:paraId="68C51527">
            <w:pPr>
              <w:jc w:val="center"/>
              <w:rPr>
                <w:rFonts w:ascii="宋体" w:hAnsi="宋体" w:eastAsia="宋体" w:cs="宋体"/>
                <w:color w:val="auto"/>
                <w:kern w:val="0"/>
                <w:sz w:val="24"/>
                <w:szCs w:val="24"/>
              </w:rPr>
            </w:pPr>
            <w:r>
              <w:rPr>
                <w:rFonts w:hint="eastAsia" w:ascii="宋体" w:hAnsi="宋体" w:eastAsia="宋体" w:cs="宋体"/>
                <w:color w:val="auto"/>
                <w:sz w:val="24"/>
                <w:szCs w:val="24"/>
              </w:rPr>
              <w:t>热水</w:t>
            </w:r>
            <w:r>
              <w:rPr>
                <w:rFonts w:hint="eastAsia" w:ascii="宋体" w:hAnsi="宋体" w:cs="宋体"/>
                <w:color w:val="auto"/>
                <w:sz w:val="24"/>
                <w:szCs w:val="24"/>
              </w:rPr>
              <w:t>运维</w:t>
            </w:r>
            <w:r>
              <w:rPr>
                <w:rFonts w:hint="eastAsia" w:ascii="宋体" w:hAnsi="宋体" w:eastAsia="宋体" w:cs="宋体"/>
                <w:color w:val="auto"/>
                <w:sz w:val="24"/>
                <w:szCs w:val="24"/>
              </w:rPr>
              <w:t>管理方案</w:t>
            </w:r>
          </w:p>
        </w:tc>
        <w:tc>
          <w:tcPr>
            <w:tcW w:w="660" w:type="dxa"/>
            <w:vAlign w:val="center"/>
          </w:tcPr>
          <w:p w14:paraId="35711A22">
            <w:pPr>
              <w:widowControl/>
              <w:jc w:val="center"/>
              <w:rPr>
                <w:rFonts w:hint="default"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10</w:t>
            </w:r>
          </w:p>
        </w:tc>
        <w:tc>
          <w:tcPr>
            <w:tcW w:w="6858" w:type="dxa"/>
            <w:vAlign w:val="center"/>
          </w:tcPr>
          <w:p w14:paraId="16EE907F">
            <w:pPr>
              <w:rPr>
                <w:rFonts w:ascii="宋体" w:hAnsi="宋体" w:eastAsia="宋体" w:cs="宋体"/>
                <w:color w:val="auto"/>
                <w:sz w:val="24"/>
                <w:szCs w:val="24"/>
              </w:rPr>
            </w:pPr>
            <w:r>
              <w:rPr>
                <w:rFonts w:hint="eastAsia" w:ascii="宋体" w:hAnsi="宋体" w:cs="宋体"/>
                <w:color w:val="auto"/>
                <w:sz w:val="24"/>
                <w:szCs w:val="24"/>
              </w:rPr>
              <w:t>申</w:t>
            </w:r>
            <w:r>
              <w:rPr>
                <w:rFonts w:hint="eastAsia" w:ascii="宋体" w:hAnsi="宋体" w:eastAsia="宋体" w:cs="宋体"/>
                <w:color w:val="auto"/>
                <w:sz w:val="24"/>
                <w:szCs w:val="24"/>
              </w:rPr>
              <w:t>请人提供相对应的运维管理方案。方案包括但不限于1.保证正常运营和故障处理的措施，针对不合理的设施进行二次技改；2.设备检修维护及收费系统正常运营方案；3.为维持运营而进行服务方案及分析。</w:t>
            </w:r>
          </w:p>
          <w:p w14:paraId="6A2B4B92">
            <w:pPr>
              <w:rPr>
                <w:rFonts w:ascii="宋体" w:hAnsi="宋体" w:eastAsia="宋体" w:cs="宋体"/>
                <w:color w:val="auto"/>
                <w:sz w:val="24"/>
                <w:szCs w:val="24"/>
              </w:rPr>
            </w:pPr>
            <w:r>
              <w:rPr>
                <w:rFonts w:hint="eastAsia" w:ascii="宋体" w:hAnsi="宋体" w:eastAsia="宋体" w:cs="宋体"/>
                <w:color w:val="auto"/>
                <w:sz w:val="24"/>
                <w:szCs w:val="24"/>
              </w:rPr>
              <w:t>由投标人自行组织勘查并提出以上可实施性方案。方案内容科学完整，能解决用户反映的一些主要问题，在本项目中如何进一步改进等。</w:t>
            </w:r>
          </w:p>
          <w:p w14:paraId="64A2AE6D">
            <w:pPr>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rPr>
              <w:t>方案合理、完整、科学、可行得</w:t>
            </w:r>
            <w:r>
              <w:rPr>
                <w:rFonts w:hint="eastAsia" w:ascii="宋体" w:hAnsi="宋体" w:cs="宋体"/>
                <w:color w:val="auto"/>
                <w:sz w:val="24"/>
                <w:szCs w:val="24"/>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分；方案在合理性、完整性、科学性、可行性方面一般，得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分；方案在合理性、完整性、科学性、可行性方面差，得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-0分；未提供得不得分</w:t>
            </w:r>
            <w:r>
              <w:rPr>
                <w:rFonts w:hint="eastAsia" w:ascii="宋体" w:hAnsi="宋体" w:eastAsia="宋体" w:cs="宋体"/>
                <w:color w:val="auto"/>
                <w:sz w:val="24"/>
                <w:szCs w:val="24"/>
                <w:lang w:eastAsia="zh-CN"/>
              </w:rPr>
              <w:t>。</w:t>
            </w:r>
          </w:p>
        </w:tc>
      </w:tr>
      <w:tr w14:paraId="334C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56" w:hRule="atLeast"/>
          <w:jc w:val="center"/>
        </w:trPr>
        <w:tc>
          <w:tcPr>
            <w:tcW w:w="1225" w:type="dxa"/>
            <w:vMerge w:val="continue"/>
            <w:vAlign w:val="center"/>
          </w:tcPr>
          <w:p w14:paraId="506D50A4">
            <w:pPr>
              <w:widowControl/>
              <w:rPr>
                <w:rFonts w:ascii="宋体" w:hAnsi="宋体" w:cs="宋体"/>
                <w:color w:val="auto"/>
                <w:kern w:val="0"/>
                <w:sz w:val="24"/>
                <w:szCs w:val="24"/>
              </w:rPr>
            </w:pPr>
          </w:p>
        </w:tc>
        <w:tc>
          <w:tcPr>
            <w:tcW w:w="1195" w:type="dxa"/>
            <w:vAlign w:val="center"/>
          </w:tcPr>
          <w:p w14:paraId="7FBEE0D9">
            <w:pPr>
              <w:jc w:val="center"/>
              <w:rPr>
                <w:rFonts w:ascii="宋体" w:hAnsi="宋体" w:eastAsia="宋体" w:cs="宋体"/>
                <w:color w:val="auto"/>
                <w:kern w:val="0"/>
                <w:sz w:val="24"/>
                <w:szCs w:val="24"/>
              </w:rPr>
            </w:pPr>
            <w:r>
              <w:rPr>
                <w:rFonts w:hint="eastAsia" w:ascii="宋体" w:hAnsi="宋体" w:cs="宋体"/>
                <w:color w:val="auto"/>
                <w:kern w:val="0"/>
                <w:sz w:val="24"/>
                <w:szCs w:val="24"/>
              </w:rPr>
              <w:t>应急预案</w:t>
            </w:r>
          </w:p>
        </w:tc>
        <w:tc>
          <w:tcPr>
            <w:tcW w:w="660" w:type="dxa"/>
            <w:vAlign w:val="center"/>
          </w:tcPr>
          <w:p w14:paraId="63A3AFB2">
            <w:pPr>
              <w:widowControl/>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6</w:t>
            </w:r>
          </w:p>
        </w:tc>
        <w:tc>
          <w:tcPr>
            <w:tcW w:w="6858" w:type="dxa"/>
            <w:vAlign w:val="center"/>
          </w:tcPr>
          <w:p w14:paraId="596A9284">
            <w:pP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应急服务整体措施；突发事件应急流程，预防措施及处理办法。</w:t>
            </w:r>
            <w:r>
              <w:rPr>
                <w:rFonts w:hint="eastAsia" w:ascii="宋体" w:hAnsi="宋体" w:eastAsia="宋体" w:cs="宋体"/>
                <w:color w:val="auto"/>
                <w:sz w:val="24"/>
                <w:szCs w:val="24"/>
              </w:rPr>
              <w:t>方案合理、完整、科学、可行得</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sz w:val="24"/>
                <w:szCs w:val="24"/>
              </w:rPr>
              <w:t>分；方案在合理性、完整性、科学性、可行性方面一般，得</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sz w:val="24"/>
                <w:szCs w:val="24"/>
              </w:rPr>
              <w:t>分；方案在合理性、完整性、科学性、可行性方面差，得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-0分；未提供得不得分</w:t>
            </w:r>
            <w:r>
              <w:rPr>
                <w:rFonts w:hint="eastAsia" w:ascii="宋体" w:hAnsi="宋体" w:eastAsia="宋体" w:cs="宋体"/>
                <w:color w:val="auto"/>
                <w:sz w:val="24"/>
                <w:szCs w:val="24"/>
                <w:lang w:eastAsia="zh-CN"/>
              </w:rPr>
              <w:t>。</w:t>
            </w:r>
          </w:p>
        </w:tc>
      </w:tr>
      <w:tr w14:paraId="0299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225" w:type="dxa"/>
            <w:vMerge w:val="continue"/>
            <w:vAlign w:val="center"/>
          </w:tcPr>
          <w:p w14:paraId="77FE9A30">
            <w:pPr>
              <w:widowControl/>
              <w:rPr>
                <w:rFonts w:ascii="宋体" w:hAnsi="宋体" w:cs="宋体"/>
                <w:color w:val="auto"/>
                <w:kern w:val="0"/>
                <w:sz w:val="24"/>
                <w:szCs w:val="24"/>
              </w:rPr>
            </w:pPr>
          </w:p>
        </w:tc>
        <w:tc>
          <w:tcPr>
            <w:tcW w:w="1195" w:type="dxa"/>
            <w:vAlign w:val="center"/>
          </w:tcPr>
          <w:p w14:paraId="5297F514">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服务承诺</w:t>
            </w:r>
          </w:p>
        </w:tc>
        <w:tc>
          <w:tcPr>
            <w:tcW w:w="660" w:type="dxa"/>
            <w:vAlign w:val="center"/>
          </w:tcPr>
          <w:p w14:paraId="145FC416">
            <w:pPr>
              <w:widowControl/>
              <w:jc w:val="center"/>
              <w:rPr>
                <w:rFonts w:hint="default"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10</w:t>
            </w:r>
          </w:p>
        </w:tc>
        <w:tc>
          <w:tcPr>
            <w:tcW w:w="6858" w:type="dxa"/>
            <w:vAlign w:val="center"/>
          </w:tcPr>
          <w:p w14:paraId="01838A19">
            <w:pPr>
              <w:ind w:firstLine="249" w:firstLineChars="1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1.针对本项目作出的实际投入本地化服务措施承诺，承诺热水系统在使用过程中发生故障收到招标人通知后</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小时内到达现场处理，并且在学校有</w:t>
            </w:r>
            <w:r>
              <w:rPr>
                <w:rFonts w:hint="eastAsia" w:ascii="宋体" w:hAnsi="宋体" w:eastAsia="宋体" w:cs="宋体"/>
                <w:color w:val="auto"/>
                <w:sz w:val="24"/>
                <w:szCs w:val="24"/>
                <w:highlight w:val="none"/>
                <w:lang w:val="en-US" w:eastAsia="zh-CN"/>
              </w:rPr>
              <w:t>专业驻场技术人员（持有电工证）</w:t>
            </w:r>
            <w:r>
              <w:rPr>
                <w:rFonts w:hint="eastAsia" w:ascii="宋体" w:hAnsi="宋体" w:eastAsia="宋体" w:cs="宋体"/>
                <w:color w:val="auto"/>
                <w:sz w:val="24"/>
                <w:szCs w:val="24"/>
                <w:highlight w:val="none"/>
              </w:rPr>
              <w:t>能及时处理相应突发状况（不少于</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同时承诺维修人员如有更换，也必须持有电工证。得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415AE118">
            <w:pPr>
              <w:ind w:firstLine="249" w:firstLineChars="1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2.承诺具有健全的洗浴热水经营服务安全管理制度，明确安全责任，落实岗位责任制。洗浴热水经营服务安全管理制度，并在经营服务过程中严格实施。成交单位必须确保热水供应安全。得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257E1228">
            <w:pPr>
              <w:ind w:firstLine="249" w:firstLineChars="1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承诺热水供应服务经营期间的销售方式为招标人规定已经安装的系统进行销售，不得私自现金交易或私自设立其他收费方式。投标人作出明确承诺，并约定如有违反，每次向招标人支付人民币伍仟元的违约金，且招标人有权直接从</w:t>
            </w:r>
            <w:r>
              <w:rPr>
                <w:rFonts w:hint="eastAsia" w:ascii="宋体" w:hAnsi="宋体" w:eastAsia="宋体" w:cs="宋体"/>
                <w:color w:val="auto"/>
                <w:sz w:val="24"/>
                <w:szCs w:val="24"/>
                <w:highlight w:val="none"/>
                <w:lang w:val="en-US" w:eastAsia="zh-CN"/>
              </w:rPr>
              <w:t>运维服务费</w:t>
            </w:r>
            <w:r>
              <w:rPr>
                <w:rFonts w:hint="eastAsia" w:ascii="宋体" w:hAnsi="宋体" w:eastAsia="宋体" w:cs="宋体"/>
                <w:color w:val="auto"/>
                <w:sz w:val="24"/>
                <w:szCs w:val="24"/>
                <w:highlight w:val="none"/>
              </w:rPr>
              <w:t>中扣除；情节严重的，招标人有权单方解除合同。满足以上要求得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分，否则不得分。</w:t>
            </w:r>
          </w:p>
          <w:p w14:paraId="47585993">
            <w:pPr>
              <w:ind w:firstLine="249" w:firstLineChars="1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承诺按照学校作息时间保障洗浴热水供应服务，确保学生生活供水稳定，在放假期间，要根据学校总体安排提供必要的洗浴热水供应，保证假期学生正常生活需求和校园管理秩序，处理热水系统故障检修保障全年24小时为学生提供热水供应服务，终端出水温度不低于45℃等。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5212E53D">
            <w:pPr>
              <w:ind w:firstLine="249" w:firstLineChars="104"/>
              <w:rPr>
                <w:rFonts w:ascii="宋体" w:hAnsi="宋体" w:cs="宋体"/>
                <w:color w:val="auto"/>
                <w:kern w:val="0"/>
                <w:sz w:val="24"/>
                <w:szCs w:val="24"/>
                <w:highlight w:val="none"/>
              </w:rPr>
            </w:pPr>
            <w:r>
              <w:rPr>
                <w:rFonts w:hint="eastAsia" w:ascii="宋体" w:hAnsi="宋体" w:eastAsia="宋体" w:cs="宋体"/>
                <w:color w:val="auto"/>
                <w:sz w:val="24"/>
                <w:szCs w:val="24"/>
                <w:highlight w:val="none"/>
              </w:rPr>
              <w:t>以上服务承诺具体详细（格式自拟），本项最高得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分，没有提供不得分。</w:t>
            </w:r>
          </w:p>
        </w:tc>
      </w:tr>
      <w:tr w14:paraId="19D5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atLeast"/>
          <w:jc w:val="center"/>
        </w:trPr>
        <w:tc>
          <w:tcPr>
            <w:tcW w:w="1225" w:type="dxa"/>
            <w:vMerge w:val="restart"/>
            <w:vAlign w:val="center"/>
          </w:tcPr>
          <w:p w14:paraId="600E642A"/>
          <w:p w14:paraId="684131F2"/>
          <w:p w14:paraId="38619B61"/>
          <w:p w14:paraId="4679991B"/>
          <w:p w14:paraId="6CD10800"/>
          <w:p w14:paraId="43E9EAD2"/>
          <w:p w14:paraId="7DB84882">
            <w:pPr>
              <w:widowControl/>
              <w:rPr>
                <w:rFonts w:ascii="宋体" w:hAnsi="宋体" w:cs="宋体"/>
                <w:kern w:val="0"/>
                <w:sz w:val="24"/>
                <w:szCs w:val="24"/>
              </w:rPr>
            </w:pPr>
            <w:r>
              <w:rPr>
                <w:rFonts w:hint="eastAsia" w:ascii="宋体" w:hAnsi="宋体" w:cs="宋体"/>
                <w:kern w:val="0"/>
                <w:sz w:val="24"/>
                <w:szCs w:val="24"/>
              </w:rPr>
              <w:t>商务部分</w:t>
            </w:r>
          </w:p>
          <w:p w14:paraId="084B9048">
            <w:r>
              <w:rPr>
                <w:rFonts w:hint="eastAsia" w:ascii="宋体" w:hAnsi="宋体" w:cs="宋体"/>
                <w:kern w:val="0"/>
                <w:sz w:val="24"/>
                <w:szCs w:val="24"/>
              </w:rPr>
              <w:t>（</w:t>
            </w:r>
            <w:r>
              <w:rPr>
                <w:rFonts w:hint="eastAsia" w:ascii="宋体" w:hAnsi="宋体" w:cs="宋体"/>
                <w:kern w:val="0"/>
                <w:sz w:val="24"/>
                <w:szCs w:val="24"/>
                <w:lang w:val="en-US" w:eastAsia="zh-CN"/>
              </w:rPr>
              <w:t>30</w:t>
            </w:r>
            <w:r>
              <w:rPr>
                <w:rFonts w:hint="eastAsia" w:ascii="宋体" w:hAnsi="宋体" w:cs="宋体"/>
                <w:kern w:val="0"/>
                <w:sz w:val="24"/>
                <w:szCs w:val="24"/>
              </w:rPr>
              <w:t>分）</w:t>
            </w:r>
          </w:p>
          <w:p w14:paraId="52AF6E5F"/>
          <w:p w14:paraId="3FCE530D"/>
          <w:p w14:paraId="7C4751E5">
            <w:pPr>
              <w:widowControl/>
              <w:jc w:val="left"/>
              <w:textAlignment w:val="auto"/>
              <w:rPr>
                <w:rFonts w:ascii="宋体" w:hAnsi="宋体" w:eastAsia="宋体" w:cs="宋体"/>
                <w:color w:val="000000"/>
                <w:sz w:val="24"/>
                <w:szCs w:val="24"/>
              </w:rPr>
            </w:pPr>
          </w:p>
        </w:tc>
        <w:tc>
          <w:tcPr>
            <w:tcW w:w="1195" w:type="dxa"/>
            <w:vAlign w:val="center"/>
          </w:tcPr>
          <w:p w14:paraId="79E67310">
            <w:pPr>
              <w:widowControl/>
              <w:jc w:val="center"/>
              <w:textAlignment w:val="auto"/>
              <w:rPr>
                <w:rFonts w:hint="eastAsia" w:ascii="宋体" w:hAnsi="宋体" w:eastAsia="宋体" w:cs="宋体"/>
                <w:color w:val="000000"/>
                <w:sz w:val="24"/>
                <w:szCs w:val="24"/>
              </w:rPr>
            </w:pPr>
            <w:r>
              <w:rPr>
                <w:rFonts w:hint="eastAsia" w:ascii="宋体" w:hAnsi="宋体" w:cs="宋体"/>
                <w:kern w:val="0"/>
                <w:sz w:val="24"/>
                <w:szCs w:val="24"/>
              </w:rPr>
              <w:t>企业业绩</w:t>
            </w:r>
          </w:p>
        </w:tc>
        <w:tc>
          <w:tcPr>
            <w:tcW w:w="660" w:type="dxa"/>
            <w:vAlign w:val="center"/>
          </w:tcPr>
          <w:p w14:paraId="1B602B57">
            <w:pPr>
              <w:widowControl/>
              <w:jc w:val="center"/>
              <w:rPr>
                <w:rFonts w:hint="default" w:ascii="宋体" w:hAnsi="宋体" w:cs="宋体" w:eastAsiaTheme="minorEastAsia"/>
                <w:kern w:val="0"/>
                <w:sz w:val="24"/>
                <w:szCs w:val="24"/>
                <w:lang w:val="en-US" w:eastAsia="zh-CN"/>
              </w:rPr>
            </w:pPr>
            <w:r>
              <w:rPr>
                <w:rFonts w:hint="eastAsia" w:ascii="宋体" w:hAnsi="宋体" w:cs="宋体"/>
                <w:kern w:val="0"/>
                <w:sz w:val="24"/>
                <w:szCs w:val="24"/>
                <w:lang w:val="en-US" w:eastAsia="zh-CN"/>
              </w:rPr>
              <w:t>8</w:t>
            </w:r>
          </w:p>
        </w:tc>
        <w:tc>
          <w:tcPr>
            <w:tcW w:w="6858" w:type="dxa"/>
            <w:vAlign w:val="center"/>
          </w:tcPr>
          <w:p w14:paraId="1BD7ADD8">
            <w:pPr>
              <w:widowControl/>
              <w:jc w:val="left"/>
              <w:rPr>
                <w:sz w:val="24"/>
                <w:szCs w:val="24"/>
                <w:highlight w:val="none"/>
              </w:rPr>
            </w:pPr>
            <w:r>
              <w:rPr>
                <w:rFonts w:hint="eastAsia" w:ascii="宋体" w:hAnsi="宋体" w:cs="宋体"/>
                <w:color w:val="000000"/>
                <w:sz w:val="24"/>
                <w:szCs w:val="24"/>
                <w:highlight w:val="none"/>
              </w:rPr>
              <w:t>投标人必须提供</w:t>
            </w:r>
            <w:r>
              <w:rPr>
                <w:rFonts w:hint="eastAsia" w:ascii="宋体" w:hAnsi="宋体" w:eastAsia="宋体" w:cs="宋体"/>
                <w:sz w:val="24"/>
                <w:szCs w:val="24"/>
                <w:highlight w:val="none"/>
              </w:rPr>
              <w:t>近</w:t>
            </w:r>
            <w:r>
              <w:rPr>
                <w:rFonts w:hint="eastAsia" w:ascii="宋体" w:hAnsi="宋体" w:eastAsia="宋体" w:cs="Times New Roman"/>
                <w:kern w:val="0"/>
                <w:sz w:val="24"/>
                <w:szCs w:val="24"/>
                <w:highlight w:val="none"/>
              </w:rPr>
              <w:t>三年以来（202</w:t>
            </w:r>
            <w:r>
              <w:rPr>
                <w:rFonts w:hint="eastAsia" w:ascii="宋体" w:hAnsi="宋体" w:eastAsia="宋体" w:cs="Times New Roman"/>
                <w:kern w:val="0"/>
                <w:sz w:val="24"/>
                <w:szCs w:val="24"/>
                <w:highlight w:val="none"/>
                <w:lang w:val="en-US" w:eastAsia="zh-CN"/>
              </w:rPr>
              <w:t>3</w:t>
            </w:r>
            <w:r>
              <w:rPr>
                <w:rFonts w:hint="eastAsia" w:ascii="宋体" w:hAnsi="宋体" w:eastAsia="宋体" w:cs="Times New Roman"/>
                <w:kern w:val="0"/>
                <w:sz w:val="24"/>
                <w:szCs w:val="24"/>
                <w:highlight w:val="none"/>
              </w:rPr>
              <w:t>年1月至今）的校园热水系统运维服务项目相关业绩。提供一项得</w:t>
            </w:r>
            <w:r>
              <w:rPr>
                <w:rFonts w:hint="eastAsia" w:ascii="宋体" w:hAnsi="宋体" w:eastAsia="宋体" w:cs="Times New Roman"/>
                <w:kern w:val="0"/>
                <w:sz w:val="24"/>
                <w:szCs w:val="24"/>
                <w:highlight w:val="none"/>
                <w:lang w:val="en-US" w:eastAsia="zh-CN"/>
              </w:rPr>
              <w:t>2</w:t>
            </w:r>
            <w:r>
              <w:rPr>
                <w:rFonts w:hint="eastAsia" w:ascii="宋体" w:hAnsi="宋体" w:eastAsia="宋体" w:cs="Times New Roman"/>
                <w:kern w:val="0"/>
                <w:sz w:val="24"/>
                <w:szCs w:val="24"/>
                <w:highlight w:val="none"/>
              </w:rPr>
              <w:t>分，最高得</w:t>
            </w:r>
            <w:r>
              <w:rPr>
                <w:rFonts w:hint="eastAsia" w:ascii="宋体" w:hAnsi="宋体" w:eastAsia="宋体" w:cs="Times New Roman"/>
                <w:kern w:val="0"/>
                <w:sz w:val="24"/>
                <w:szCs w:val="24"/>
                <w:highlight w:val="none"/>
                <w:lang w:val="en-US" w:eastAsia="zh-CN"/>
              </w:rPr>
              <w:t>8</w:t>
            </w:r>
            <w:r>
              <w:rPr>
                <w:rFonts w:hint="eastAsia" w:ascii="宋体" w:hAnsi="宋体" w:eastAsia="宋体" w:cs="Times New Roman"/>
                <w:kern w:val="0"/>
                <w:sz w:val="24"/>
                <w:szCs w:val="24"/>
                <w:highlight w:val="none"/>
              </w:rPr>
              <w:t>分。(业绩证明时间以合同签订时间为准，业绩证明材料须能有效证明项目类型，提供合同或中标通知书扫描件加盖公章)</w:t>
            </w:r>
          </w:p>
        </w:tc>
      </w:tr>
      <w:tr w14:paraId="310D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88" w:hRule="atLeast"/>
          <w:jc w:val="center"/>
        </w:trPr>
        <w:tc>
          <w:tcPr>
            <w:tcW w:w="1225" w:type="dxa"/>
            <w:vMerge w:val="continue"/>
            <w:vAlign w:val="center"/>
          </w:tcPr>
          <w:p w14:paraId="747EE84B">
            <w:pPr>
              <w:widowControl/>
              <w:jc w:val="center"/>
              <w:rPr>
                <w:rFonts w:ascii="宋体" w:hAnsi="宋体" w:eastAsia="宋体" w:cs="宋体"/>
                <w:kern w:val="0"/>
                <w:sz w:val="24"/>
                <w:szCs w:val="24"/>
              </w:rPr>
            </w:pPr>
          </w:p>
        </w:tc>
        <w:tc>
          <w:tcPr>
            <w:tcW w:w="1195" w:type="dxa"/>
            <w:vAlign w:val="center"/>
          </w:tcPr>
          <w:p w14:paraId="0D6042B8">
            <w:pPr>
              <w:widowControl/>
              <w:jc w:val="center"/>
              <w:rPr>
                <w:rFonts w:ascii="宋体" w:hAnsi="宋体" w:eastAsia="宋体" w:cs="宋体"/>
                <w:kern w:val="0"/>
                <w:sz w:val="24"/>
                <w:szCs w:val="24"/>
              </w:rPr>
            </w:pPr>
            <w:r>
              <w:rPr>
                <w:rFonts w:hint="eastAsia" w:ascii="宋体" w:hAnsi="宋体" w:cs="宋体"/>
                <w:kern w:val="0"/>
                <w:sz w:val="24"/>
                <w:szCs w:val="24"/>
              </w:rPr>
              <w:t>项目</w:t>
            </w:r>
            <w:r>
              <w:rPr>
                <w:rFonts w:hint="eastAsia" w:ascii="宋体" w:hAnsi="宋体" w:cs="宋体"/>
                <w:kern w:val="0"/>
                <w:sz w:val="24"/>
                <w:szCs w:val="24"/>
                <w:lang w:eastAsia="zh-CN"/>
              </w:rPr>
              <w:t>人</w:t>
            </w:r>
            <w:r>
              <w:rPr>
                <w:rFonts w:hint="eastAsia" w:ascii="宋体" w:hAnsi="宋体" w:cs="宋体"/>
                <w:kern w:val="0"/>
                <w:sz w:val="24"/>
                <w:szCs w:val="24"/>
              </w:rPr>
              <w:t>员</w:t>
            </w:r>
          </w:p>
        </w:tc>
        <w:tc>
          <w:tcPr>
            <w:tcW w:w="660" w:type="dxa"/>
            <w:vAlign w:val="center"/>
          </w:tcPr>
          <w:p w14:paraId="57C549ED">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p>
        </w:tc>
        <w:tc>
          <w:tcPr>
            <w:tcW w:w="6858" w:type="dxa"/>
            <w:vAlign w:val="center"/>
          </w:tcPr>
          <w:p w14:paraId="432A3E83">
            <w:pPr>
              <w:widowControl/>
              <w:jc w:val="left"/>
              <w:rPr>
                <w:rFonts w:hint="eastAsia" w:ascii="宋体" w:hAnsi="宋体" w:eastAsia="宋体" w:cs="Times New Roman"/>
                <w:b w:val="0"/>
                <w:bCs w:val="0"/>
                <w:szCs w:val="21"/>
                <w:highlight w:val="none"/>
              </w:rPr>
            </w:pPr>
            <w:r>
              <w:rPr>
                <w:rFonts w:hint="eastAsia" w:ascii="宋体" w:hAnsi="宋体" w:eastAsia="宋体" w:cs="Times New Roman"/>
                <w:b w:val="0"/>
                <w:bCs w:val="0"/>
                <w:szCs w:val="21"/>
                <w:highlight w:val="none"/>
              </w:rPr>
              <w:t>投标人</w:t>
            </w:r>
            <w:r>
              <w:rPr>
                <w:rFonts w:hint="eastAsia" w:ascii="宋体" w:hAnsi="宋体" w:eastAsia="宋体" w:cs="Times New Roman"/>
                <w:b w:val="0"/>
                <w:bCs w:val="0"/>
                <w:szCs w:val="21"/>
                <w:highlight w:val="none"/>
                <w:lang w:val="en-US" w:eastAsia="zh-CN"/>
              </w:rPr>
              <w:t>至少配备2名</w:t>
            </w:r>
            <w:r>
              <w:rPr>
                <w:rFonts w:hint="eastAsia" w:ascii="宋体" w:hAnsi="宋体" w:eastAsia="宋体" w:cs="Times New Roman"/>
                <w:b w:val="0"/>
                <w:bCs w:val="0"/>
                <w:szCs w:val="21"/>
                <w:highlight w:val="none"/>
              </w:rPr>
              <w:t>维修人员，每人持有的电工证按以下标准计分：</w:t>
            </w:r>
          </w:p>
          <w:p w14:paraId="129A6538">
            <w:pPr>
              <w:widowControl/>
              <w:jc w:val="left"/>
              <w:rPr>
                <w:rFonts w:hint="eastAsia" w:ascii="宋体" w:hAnsi="宋体" w:eastAsia="宋体" w:cs="Times New Roman"/>
                <w:b w:val="0"/>
                <w:bCs w:val="0"/>
                <w:szCs w:val="21"/>
                <w:highlight w:val="none"/>
              </w:rPr>
            </w:pPr>
            <w:r>
              <w:rPr>
                <w:rFonts w:hint="eastAsia" w:ascii="宋体" w:hAnsi="宋体" w:eastAsia="宋体" w:cs="Times New Roman"/>
                <w:b w:val="0"/>
                <w:bCs w:val="0"/>
                <w:szCs w:val="21"/>
                <w:highlight w:val="none"/>
              </w:rPr>
              <w:t>持有电工高级/技师或以上等级证书：每人得2分</w:t>
            </w:r>
          </w:p>
          <w:p w14:paraId="24E00772">
            <w:pPr>
              <w:widowControl/>
              <w:jc w:val="left"/>
              <w:rPr>
                <w:rFonts w:hint="eastAsia" w:ascii="宋体" w:hAnsi="宋体" w:eastAsia="宋体" w:cs="Times New Roman"/>
                <w:b w:val="0"/>
                <w:bCs w:val="0"/>
                <w:szCs w:val="21"/>
                <w:highlight w:val="none"/>
              </w:rPr>
            </w:pPr>
            <w:r>
              <w:rPr>
                <w:rFonts w:hint="eastAsia" w:ascii="宋体" w:hAnsi="宋体" w:eastAsia="宋体" w:cs="Times New Roman"/>
                <w:b w:val="0"/>
                <w:bCs w:val="0"/>
                <w:szCs w:val="21"/>
                <w:highlight w:val="none"/>
              </w:rPr>
              <w:t>持有电工中级等级证书：每人得1.5分</w:t>
            </w:r>
          </w:p>
          <w:p w14:paraId="2F32AE35">
            <w:pPr>
              <w:widowControl/>
              <w:jc w:val="left"/>
              <w:rPr>
                <w:rFonts w:hint="eastAsia" w:ascii="宋体" w:hAnsi="宋体" w:eastAsia="宋体" w:cs="Times New Roman"/>
                <w:b w:val="0"/>
                <w:bCs w:val="0"/>
                <w:szCs w:val="21"/>
                <w:highlight w:val="none"/>
              </w:rPr>
            </w:pPr>
            <w:r>
              <w:rPr>
                <w:rFonts w:hint="eastAsia" w:ascii="宋体" w:hAnsi="宋体" w:eastAsia="宋体" w:cs="Times New Roman"/>
                <w:b w:val="0"/>
                <w:bCs w:val="0"/>
                <w:szCs w:val="21"/>
                <w:highlight w:val="none"/>
              </w:rPr>
              <w:t>持有电工初级等级证书：每人得1分</w:t>
            </w:r>
          </w:p>
          <w:p w14:paraId="4585B152">
            <w:pPr>
              <w:widowControl/>
              <w:jc w:val="left"/>
              <w:rPr>
                <w:rFonts w:hint="eastAsia" w:ascii="宋体" w:hAnsi="宋体" w:eastAsia="宋体" w:cs="Times New Roman"/>
                <w:b w:val="0"/>
                <w:bCs w:val="0"/>
                <w:szCs w:val="21"/>
                <w:highlight w:val="none"/>
              </w:rPr>
            </w:pPr>
            <w:r>
              <w:rPr>
                <w:rFonts w:hint="eastAsia" w:ascii="宋体" w:hAnsi="宋体" w:eastAsia="宋体" w:cs="Times New Roman"/>
                <w:b w:val="0"/>
                <w:bCs w:val="0"/>
                <w:szCs w:val="21"/>
                <w:highlight w:val="none"/>
              </w:rPr>
              <w:t>本项累计得分最高不超过4分。</w:t>
            </w:r>
          </w:p>
          <w:p w14:paraId="7A226BDB">
            <w:pPr>
              <w:widowControl/>
              <w:jc w:val="left"/>
              <w:rPr>
                <w:rFonts w:hint="eastAsia" w:ascii="宋体" w:hAnsi="宋体"/>
                <w:b w:val="0"/>
                <w:bCs w:val="0"/>
                <w:szCs w:val="21"/>
                <w:highlight w:val="none"/>
              </w:rPr>
            </w:pPr>
            <w:r>
              <w:rPr>
                <w:rFonts w:hint="eastAsia" w:ascii="宋体" w:hAnsi="宋体" w:eastAsia="宋体" w:cs="Times New Roman"/>
                <w:b w:val="0"/>
                <w:bCs w:val="0"/>
                <w:szCs w:val="21"/>
                <w:highlight w:val="none"/>
              </w:rPr>
              <w:t>注：持证人员须为投标人正式员工且注册在本单位，提供近三个月且缴纳单位为本单位的社保证明材料复印件以及相应证书复印件加盖公章，缺一则不得分。</w:t>
            </w:r>
          </w:p>
        </w:tc>
      </w:tr>
      <w:tr w14:paraId="6BE31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9" w:hRule="atLeast"/>
          <w:jc w:val="center"/>
        </w:trPr>
        <w:tc>
          <w:tcPr>
            <w:tcW w:w="1225" w:type="dxa"/>
            <w:vMerge w:val="continue"/>
            <w:vAlign w:val="center"/>
          </w:tcPr>
          <w:p w14:paraId="6074681A">
            <w:pPr>
              <w:widowControl/>
              <w:jc w:val="center"/>
              <w:textAlignment w:val="center"/>
              <w:rPr>
                <w:rFonts w:ascii="宋体" w:hAnsi="宋体" w:eastAsia="宋体" w:cs="宋体"/>
                <w:color w:val="000000"/>
                <w:sz w:val="24"/>
                <w:szCs w:val="24"/>
              </w:rPr>
            </w:pPr>
          </w:p>
        </w:tc>
        <w:tc>
          <w:tcPr>
            <w:tcW w:w="1195" w:type="dxa"/>
            <w:vAlign w:val="center"/>
          </w:tcPr>
          <w:p w14:paraId="125842E9">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企业</w:t>
            </w:r>
            <w:r>
              <w:rPr>
                <w:rFonts w:hint="eastAsia" w:ascii="宋体" w:hAnsi="宋体" w:eastAsia="宋体" w:cs="宋体"/>
                <w:color w:val="000000"/>
                <w:sz w:val="24"/>
                <w:szCs w:val="24"/>
                <w:lang w:val="en-US" w:eastAsia="zh-CN"/>
              </w:rPr>
              <w:t>资质荣誉</w:t>
            </w:r>
          </w:p>
        </w:tc>
        <w:tc>
          <w:tcPr>
            <w:tcW w:w="660" w:type="dxa"/>
            <w:vAlign w:val="center"/>
          </w:tcPr>
          <w:p w14:paraId="51441768">
            <w:pPr>
              <w:widowControl/>
              <w:jc w:val="center"/>
              <w:textAlignment w:val="center"/>
              <w:rPr>
                <w:rFonts w:hint="default" w:ascii="宋体" w:hAnsi="宋体" w:eastAsia="宋体" w:cs="宋体"/>
                <w:color w:val="000000"/>
                <w:sz w:val="24"/>
                <w:szCs w:val="24"/>
                <w:lang w:val="en-US"/>
              </w:rPr>
            </w:pPr>
            <w:r>
              <w:rPr>
                <w:rFonts w:hint="eastAsia" w:ascii="宋体" w:hAnsi="宋体" w:eastAsia="宋体" w:cs="宋体"/>
                <w:color w:val="000000"/>
                <w:sz w:val="24"/>
                <w:szCs w:val="24"/>
                <w:lang w:val="en-US" w:eastAsia="zh-CN"/>
              </w:rPr>
              <w:t>8</w:t>
            </w:r>
          </w:p>
        </w:tc>
        <w:tc>
          <w:tcPr>
            <w:tcW w:w="6858" w:type="dxa"/>
            <w:vAlign w:val="center"/>
          </w:tcPr>
          <w:p w14:paraId="7A3113D8">
            <w:pPr>
              <w:jc w:val="lef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rPr>
              <w:t>投标人提供</w:t>
            </w:r>
            <w:r>
              <w:rPr>
                <w:rFonts w:hint="eastAsia" w:ascii="宋体" w:hAnsi="宋体" w:eastAsia="宋体" w:cs="宋体"/>
                <w:sz w:val="24"/>
                <w:szCs w:val="24"/>
                <w:highlight w:val="none"/>
              </w:rPr>
              <w:t>近三年以来（202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年1月至今）</w:t>
            </w:r>
            <w:r>
              <w:rPr>
                <w:rFonts w:hint="eastAsia" w:ascii="宋体" w:hAnsi="宋体" w:eastAsia="宋体" w:cs="宋体"/>
                <w:color w:val="000000"/>
                <w:sz w:val="24"/>
                <w:szCs w:val="24"/>
                <w:highlight w:val="none"/>
              </w:rPr>
              <w:t>，获得</w:t>
            </w:r>
            <w:r>
              <w:rPr>
                <w:rFonts w:hint="eastAsia" w:ascii="宋体" w:hAnsi="宋体" w:eastAsia="宋体" w:cs="宋体"/>
                <w:color w:val="000000"/>
                <w:sz w:val="24"/>
                <w:szCs w:val="24"/>
                <w:highlight w:val="none"/>
                <w:lang w:val="en-US" w:eastAsia="zh-CN"/>
              </w:rPr>
              <w:t>太阳能热水、空气能热水、水电安装、机电维修服务行业相关</w:t>
            </w:r>
            <w:r>
              <w:rPr>
                <w:rFonts w:hint="eastAsia" w:ascii="宋体" w:hAnsi="宋体"/>
                <w:sz w:val="24"/>
                <w:szCs w:val="24"/>
                <w:highlight w:val="none"/>
              </w:rPr>
              <w:t>认证机构</w:t>
            </w:r>
            <w:r>
              <w:rPr>
                <w:rFonts w:hint="eastAsia" w:ascii="宋体" w:hAnsi="宋体" w:eastAsia="宋体" w:cs="宋体"/>
                <w:color w:val="000000"/>
                <w:sz w:val="24"/>
                <w:szCs w:val="24"/>
                <w:highlight w:val="none"/>
              </w:rPr>
              <w:t>颁发的</w:t>
            </w:r>
            <w:r>
              <w:rPr>
                <w:rFonts w:hint="eastAsia" w:ascii="宋体" w:hAnsi="宋体" w:eastAsia="宋体" w:cs="宋体"/>
                <w:color w:val="000000"/>
                <w:sz w:val="24"/>
                <w:szCs w:val="24"/>
                <w:highlight w:val="none"/>
                <w:lang w:val="en-US" w:eastAsia="zh-CN"/>
              </w:rPr>
              <w:t>资质荣誉证书</w:t>
            </w:r>
            <w:r>
              <w:rPr>
                <w:rFonts w:hint="eastAsia" w:ascii="宋体" w:hAnsi="宋体" w:eastAsia="宋体" w:cs="宋体"/>
                <w:color w:val="000000"/>
                <w:sz w:val="24"/>
                <w:szCs w:val="24"/>
                <w:highlight w:val="none"/>
              </w:rPr>
              <w:t>的，每提供一份得</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分，最高得</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eastAsia="zh-CN"/>
              </w:rPr>
              <w:t>，</w:t>
            </w:r>
            <w:r>
              <w:rPr>
                <w:rFonts w:hint="eastAsia" w:ascii="宋体" w:hAnsi="宋体" w:cs="宋体"/>
                <w:color w:val="000000"/>
                <w:kern w:val="0"/>
                <w:sz w:val="24"/>
                <w:szCs w:val="24"/>
                <w:highlight w:val="none"/>
                <w:lang w:val="en-US" w:eastAsia="zh-CN"/>
              </w:rPr>
              <w:t>证书不在有效期内或不提供不得分。</w:t>
            </w:r>
          </w:p>
          <w:p w14:paraId="27DB1313">
            <w:pP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注：提供证书复印件加盖公章。</w:t>
            </w:r>
          </w:p>
        </w:tc>
      </w:tr>
      <w:tr w14:paraId="24B1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75" w:hRule="atLeast"/>
          <w:jc w:val="center"/>
        </w:trPr>
        <w:tc>
          <w:tcPr>
            <w:tcW w:w="1225" w:type="dxa"/>
            <w:vAlign w:val="center"/>
          </w:tcPr>
          <w:p w14:paraId="1E57629D">
            <w:pPr>
              <w:widowControl/>
              <w:jc w:val="center"/>
              <w:textAlignment w:val="center"/>
              <w:rPr>
                <w:rFonts w:ascii="宋体" w:hAnsi="宋体" w:eastAsia="宋体" w:cs="宋体"/>
                <w:color w:val="FF0000"/>
                <w:sz w:val="24"/>
                <w:szCs w:val="24"/>
              </w:rPr>
            </w:pPr>
          </w:p>
        </w:tc>
        <w:tc>
          <w:tcPr>
            <w:tcW w:w="1195" w:type="dxa"/>
            <w:vAlign w:val="center"/>
          </w:tcPr>
          <w:p w14:paraId="2ED6E46D">
            <w:pPr>
              <w:widowControl/>
              <w:rPr>
                <w:rFonts w:hint="eastAsia" w:ascii="宋体" w:hAnsi="宋体" w:cs="宋体"/>
                <w:kern w:val="0"/>
                <w:sz w:val="24"/>
                <w:szCs w:val="24"/>
              </w:rPr>
            </w:pPr>
            <w:r>
              <w:rPr>
                <w:rFonts w:hint="eastAsia" w:ascii="宋体" w:hAnsi="宋体" w:cs="宋体"/>
                <w:kern w:val="0"/>
                <w:sz w:val="24"/>
                <w:szCs w:val="24"/>
                <w:lang w:val="en-US" w:eastAsia="zh-CN"/>
              </w:rPr>
              <w:t>营收</w:t>
            </w:r>
            <w:r>
              <w:rPr>
                <w:rFonts w:hint="eastAsia" w:ascii="宋体" w:hAnsi="宋体" w:cs="宋体"/>
                <w:kern w:val="0"/>
                <w:sz w:val="24"/>
                <w:szCs w:val="24"/>
              </w:rPr>
              <w:t>目标承诺与保障措施</w:t>
            </w:r>
          </w:p>
        </w:tc>
        <w:tc>
          <w:tcPr>
            <w:tcW w:w="660" w:type="dxa"/>
            <w:vAlign w:val="center"/>
          </w:tcPr>
          <w:p w14:paraId="276E49AB">
            <w:pPr>
              <w:widowControl/>
              <w:rPr>
                <w:rFonts w:hint="default" w:ascii="宋体" w:hAnsi="宋体" w:cs="宋体"/>
                <w:kern w:val="0"/>
                <w:sz w:val="24"/>
                <w:szCs w:val="24"/>
                <w:lang w:val="en-US" w:eastAsia="zh-CN"/>
              </w:rPr>
            </w:pPr>
            <w:r>
              <w:rPr>
                <w:rFonts w:hint="eastAsia" w:ascii="宋体" w:hAnsi="宋体" w:cs="宋体"/>
                <w:kern w:val="0"/>
                <w:sz w:val="24"/>
                <w:szCs w:val="24"/>
                <w:lang w:val="en-US" w:eastAsia="zh-CN"/>
              </w:rPr>
              <w:t>10</w:t>
            </w:r>
          </w:p>
        </w:tc>
        <w:tc>
          <w:tcPr>
            <w:tcW w:w="6858" w:type="dxa"/>
            <w:vAlign w:val="center"/>
          </w:tcPr>
          <w:p w14:paraId="75566D98">
            <w:pPr>
              <w:widowControl/>
              <w:rPr>
                <w:rFonts w:hint="default" w:ascii="宋体" w:hAnsi="宋体" w:cs="宋体" w:eastAsiaTheme="minorEastAsia"/>
                <w:kern w:val="0"/>
                <w:sz w:val="24"/>
                <w:szCs w:val="24"/>
                <w:lang w:val="en-US" w:eastAsia="zh-CN"/>
              </w:rPr>
            </w:pPr>
            <w:r>
              <w:rPr>
                <w:rFonts w:hint="eastAsia" w:ascii="宋体" w:hAnsi="宋体" w:cs="宋体"/>
                <w:kern w:val="0"/>
                <w:sz w:val="24"/>
                <w:szCs w:val="24"/>
              </w:rPr>
              <w:t>在</w:t>
            </w:r>
            <w:r>
              <w:rPr>
                <w:rFonts w:hint="eastAsia" w:ascii="宋体" w:hAnsi="宋体" w:cs="宋体"/>
                <w:kern w:val="0"/>
                <w:sz w:val="24"/>
                <w:szCs w:val="24"/>
                <w:lang w:val="en-US" w:eastAsia="zh-CN"/>
              </w:rPr>
              <w:t>满足</w:t>
            </w:r>
            <w:r>
              <w:rPr>
                <w:rFonts w:hint="eastAsia" w:ascii="宋体" w:hAnsi="宋体" w:cs="宋体"/>
                <w:kern w:val="0"/>
                <w:sz w:val="24"/>
                <w:szCs w:val="24"/>
              </w:rPr>
              <w:t>基础目标值的基础上（¥</w:t>
            </w:r>
            <w:r>
              <w:rPr>
                <w:rFonts w:hint="eastAsia" w:ascii="宋体" w:hAnsi="宋体" w:cs="宋体"/>
                <w:kern w:val="0"/>
                <w:sz w:val="24"/>
                <w:szCs w:val="24"/>
                <w:u w:val="single"/>
                <w:lang w:val="en-US" w:eastAsia="zh-CN"/>
              </w:rPr>
              <w:t xml:space="preserve">     </w:t>
            </w:r>
            <w:bookmarkStart w:id="0" w:name="_GoBack"/>
            <w:bookmarkEnd w:id="0"/>
            <w:r>
              <w:rPr>
                <w:rFonts w:hint="eastAsia" w:ascii="宋体" w:hAnsi="宋体" w:cs="宋体"/>
                <w:kern w:val="0"/>
                <w:sz w:val="24"/>
                <w:szCs w:val="24"/>
              </w:rPr>
              <w:t>为基准</w:t>
            </w:r>
            <w:r>
              <w:rPr>
                <w:rFonts w:hint="eastAsia" w:ascii="宋体" w:hAnsi="宋体" w:cs="宋体"/>
                <w:kern w:val="0"/>
                <w:sz w:val="24"/>
                <w:szCs w:val="24"/>
                <w:lang w:val="en-US" w:eastAsia="zh-CN"/>
              </w:rPr>
              <w:t>)</w:t>
            </w:r>
            <w:r>
              <w:rPr>
                <w:rFonts w:hint="eastAsia" w:ascii="宋体" w:hAnsi="宋体" w:cs="宋体"/>
                <w:kern w:val="0"/>
                <w:sz w:val="24"/>
                <w:szCs w:val="24"/>
              </w:rPr>
              <w:t>，投标人可自愿承诺更高的年度营收目标。承诺营收每提升1%，得1分，本项最高得10分</w:t>
            </w:r>
            <w:r>
              <w:rPr>
                <w:rFonts w:hint="eastAsia" w:ascii="宋体" w:hAnsi="宋体" w:cs="宋体"/>
                <w:kern w:val="0"/>
                <w:sz w:val="24"/>
                <w:szCs w:val="24"/>
                <w:lang w:eastAsia="zh-CN"/>
              </w:rPr>
              <w:t>，提供承诺函。</w:t>
            </w:r>
          </w:p>
          <w:p w14:paraId="7D23673C">
            <w:pPr>
              <w:widowControl/>
              <w:rPr>
                <w:rFonts w:hint="eastAsia" w:ascii="宋体" w:hAnsi="宋体" w:cs="宋体"/>
                <w:kern w:val="0"/>
                <w:sz w:val="24"/>
                <w:szCs w:val="24"/>
              </w:rPr>
            </w:pPr>
          </w:p>
        </w:tc>
      </w:tr>
      <w:tr w14:paraId="204B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79" w:hRule="atLeast"/>
          <w:jc w:val="center"/>
        </w:trPr>
        <w:tc>
          <w:tcPr>
            <w:tcW w:w="1225" w:type="dxa"/>
            <w:vAlign w:val="center"/>
          </w:tcPr>
          <w:p w14:paraId="6B4D41AA">
            <w:pPr>
              <w:widowControl/>
              <w:rPr>
                <w:rFonts w:ascii="宋体" w:hAnsi="宋体"/>
                <w:sz w:val="24"/>
                <w:szCs w:val="24"/>
              </w:rPr>
            </w:pPr>
            <w:r>
              <w:rPr>
                <w:rFonts w:hint="eastAsia" w:ascii="宋体" w:hAnsi="宋体"/>
                <w:sz w:val="24"/>
                <w:szCs w:val="24"/>
              </w:rPr>
              <w:t>投标报价</w:t>
            </w:r>
          </w:p>
          <w:p w14:paraId="30538A93">
            <w:pPr>
              <w:widowControl/>
              <w:rPr>
                <w:rFonts w:ascii="宋体" w:hAnsi="宋体" w:cs="宋体"/>
                <w:kern w:val="0"/>
                <w:sz w:val="24"/>
                <w:szCs w:val="24"/>
              </w:rPr>
            </w:pPr>
            <w:r>
              <w:rPr>
                <w:rFonts w:hint="eastAsia" w:ascii="宋体" w:hAnsi="宋体" w:cs="宋体"/>
                <w:kern w:val="0"/>
                <w:sz w:val="24"/>
                <w:szCs w:val="24"/>
              </w:rPr>
              <w:t>（30分）</w:t>
            </w:r>
          </w:p>
        </w:tc>
        <w:tc>
          <w:tcPr>
            <w:tcW w:w="1195" w:type="dxa"/>
            <w:vAlign w:val="center"/>
          </w:tcPr>
          <w:p w14:paraId="3643FE0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投标报价</w:t>
            </w:r>
          </w:p>
        </w:tc>
        <w:tc>
          <w:tcPr>
            <w:tcW w:w="660" w:type="dxa"/>
            <w:vAlign w:val="center"/>
          </w:tcPr>
          <w:p w14:paraId="6946978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30</w:t>
            </w:r>
          </w:p>
        </w:tc>
        <w:tc>
          <w:tcPr>
            <w:tcW w:w="6858" w:type="dxa"/>
            <w:vAlign w:val="center"/>
          </w:tcPr>
          <w:p w14:paraId="40AB3563">
            <w:pPr>
              <w:widowControl/>
              <w:rPr>
                <w:rFonts w:ascii="宋体" w:hAnsi="宋体" w:cs="宋体"/>
                <w:kern w:val="0"/>
                <w:sz w:val="24"/>
                <w:szCs w:val="24"/>
              </w:rPr>
            </w:pPr>
            <w:r>
              <w:rPr>
                <w:rFonts w:hint="eastAsia" w:ascii="宋体" w:hAnsi="宋体" w:eastAsia="宋体" w:cs="宋体"/>
                <w:color w:val="000000"/>
                <w:sz w:val="24"/>
                <w:szCs w:val="24"/>
              </w:rPr>
              <w:t>价格评分的计算方法如下：评标</w:t>
            </w:r>
            <w:r>
              <w:rPr>
                <w:rFonts w:hint="eastAsia" w:ascii="宋体" w:hAnsi="宋体" w:cs="宋体"/>
                <w:kern w:val="0"/>
                <w:sz w:val="24"/>
                <w:szCs w:val="24"/>
              </w:rPr>
              <w:t>基准价为评审合格的投标人投标报价去掉一个最高价、一个最低价的平均值（不多于5家的，直接取平均值）。投标人报价比评标基准价每高出 1%扣1分，扣完为止；投标人报价比评标基准价每低 1%扣 0.5分，扣完为止；由此得出各投标人的投标报价得分（保留小数点后两位数字，第三位四舍五入），</w:t>
            </w:r>
          </w:p>
          <w:p w14:paraId="4C2A656D">
            <w:pPr>
              <w:widowControl/>
              <w:rPr>
                <w:rFonts w:ascii="宋体" w:hAnsi="宋体" w:cs="宋体"/>
                <w:kern w:val="0"/>
                <w:sz w:val="24"/>
                <w:szCs w:val="24"/>
              </w:rPr>
            </w:pPr>
            <w:r>
              <w:rPr>
                <w:rFonts w:hint="eastAsia" w:ascii="宋体" w:hAnsi="宋体" w:cs="宋体"/>
                <w:kern w:val="0"/>
                <w:sz w:val="24"/>
                <w:szCs w:val="24"/>
              </w:rPr>
              <w:t>1、（投标报价＞基准价时）</w:t>
            </w:r>
          </w:p>
          <w:p w14:paraId="50012035">
            <w:pPr>
              <w:widowControl/>
              <w:rPr>
                <w:rFonts w:ascii="宋体" w:hAnsi="宋体" w:cs="宋体"/>
                <w:kern w:val="0"/>
                <w:sz w:val="24"/>
                <w:szCs w:val="24"/>
              </w:rPr>
            </w:pPr>
            <w:r>
              <w:rPr>
                <w:rFonts w:hint="eastAsia" w:ascii="宋体" w:hAnsi="宋体" w:cs="宋体"/>
                <w:kern w:val="0"/>
                <w:sz w:val="24"/>
                <w:szCs w:val="24"/>
              </w:rPr>
              <w:t>费率报价得分=30-（投标人投标价-评标基准价）÷评标基准价×100×1</w:t>
            </w:r>
          </w:p>
          <w:p w14:paraId="67B43BB3">
            <w:pPr>
              <w:widowControl/>
              <w:rPr>
                <w:rFonts w:ascii="宋体" w:hAnsi="宋体" w:cs="宋体"/>
                <w:kern w:val="0"/>
                <w:sz w:val="24"/>
                <w:szCs w:val="24"/>
              </w:rPr>
            </w:pPr>
            <w:r>
              <w:rPr>
                <w:rFonts w:hint="eastAsia" w:ascii="宋体" w:hAnsi="宋体" w:cs="宋体"/>
                <w:kern w:val="0"/>
                <w:sz w:val="24"/>
                <w:szCs w:val="24"/>
              </w:rPr>
              <w:t>2、（投标报价≤基准价时）</w:t>
            </w:r>
          </w:p>
          <w:p w14:paraId="548B6869">
            <w:pPr>
              <w:widowControl/>
              <w:rPr>
                <w:rFonts w:ascii="宋体" w:hAnsi="宋体" w:cs="宋体"/>
                <w:color w:val="000000"/>
                <w:sz w:val="24"/>
                <w:szCs w:val="24"/>
              </w:rPr>
            </w:pPr>
            <w:r>
              <w:rPr>
                <w:rFonts w:hint="eastAsia" w:ascii="宋体" w:hAnsi="宋体" w:cs="宋体"/>
                <w:kern w:val="0"/>
                <w:sz w:val="24"/>
                <w:szCs w:val="24"/>
              </w:rPr>
              <w:t>费率报价得分=30-（评标基准价-投标人投标价）÷评标基准价×100×</w:t>
            </w:r>
            <w:r>
              <w:rPr>
                <w:rFonts w:ascii="宋体" w:hAnsi="宋体" w:cs="宋体"/>
                <w:kern w:val="0"/>
                <w:sz w:val="24"/>
                <w:szCs w:val="24"/>
              </w:rPr>
              <w:t>0.</w:t>
            </w:r>
            <w:r>
              <w:rPr>
                <w:rFonts w:hint="eastAsia" w:ascii="宋体" w:hAnsi="宋体" w:cs="宋体"/>
                <w:kern w:val="0"/>
                <w:sz w:val="24"/>
                <w:szCs w:val="24"/>
              </w:rPr>
              <w:t>5</w:t>
            </w:r>
          </w:p>
          <w:p w14:paraId="7F4C6B0E">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注：1、评标委员会认为投标人的报价明显高于或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tc>
      </w:tr>
    </w:tbl>
    <w:p w14:paraId="1519BD14">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roman"/>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7957AF"/>
    <w:rsid w:val="0167398B"/>
    <w:rsid w:val="018E7169"/>
    <w:rsid w:val="03514610"/>
    <w:rsid w:val="073056E5"/>
    <w:rsid w:val="0A2148F3"/>
    <w:rsid w:val="0DD57ECE"/>
    <w:rsid w:val="0FA45DAA"/>
    <w:rsid w:val="12B225AB"/>
    <w:rsid w:val="146975C2"/>
    <w:rsid w:val="165322D8"/>
    <w:rsid w:val="186144BB"/>
    <w:rsid w:val="18CD56A4"/>
    <w:rsid w:val="19406B43"/>
    <w:rsid w:val="1AD269A5"/>
    <w:rsid w:val="1AFF2A2E"/>
    <w:rsid w:val="1E380731"/>
    <w:rsid w:val="1E8474D2"/>
    <w:rsid w:val="1F8D23B7"/>
    <w:rsid w:val="21EF426E"/>
    <w:rsid w:val="22A16179"/>
    <w:rsid w:val="22C81958"/>
    <w:rsid w:val="242A28CA"/>
    <w:rsid w:val="24967F5F"/>
    <w:rsid w:val="24C94316"/>
    <w:rsid w:val="24D57603"/>
    <w:rsid w:val="267C3185"/>
    <w:rsid w:val="27D03788"/>
    <w:rsid w:val="29DA269C"/>
    <w:rsid w:val="2A475858"/>
    <w:rsid w:val="2B2E2565"/>
    <w:rsid w:val="2B7957AF"/>
    <w:rsid w:val="2F340AA1"/>
    <w:rsid w:val="31F622A7"/>
    <w:rsid w:val="3337290D"/>
    <w:rsid w:val="337A6C9E"/>
    <w:rsid w:val="36370E76"/>
    <w:rsid w:val="393578EF"/>
    <w:rsid w:val="3C5462DE"/>
    <w:rsid w:val="3FE91433"/>
    <w:rsid w:val="42812E8D"/>
    <w:rsid w:val="42D00689"/>
    <w:rsid w:val="440E1469"/>
    <w:rsid w:val="44A818BD"/>
    <w:rsid w:val="45343151"/>
    <w:rsid w:val="46252A99"/>
    <w:rsid w:val="476B0980"/>
    <w:rsid w:val="47C307BC"/>
    <w:rsid w:val="48F6071D"/>
    <w:rsid w:val="49357497"/>
    <w:rsid w:val="4B0B04B0"/>
    <w:rsid w:val="4CF3569F"/>
    <w:rsid w:val="4DAE7818"/>
    <w:rsid w:val="4EA06E21"/>
    <w:rsid w:val="4EA46E87"/>
    <w:rsid w:val="4FA00881"/>
    <w:rsid w:val="4FC9093A"/>
    <w:rsid w:val="500B0F52"/>
    <w:rsid w:val="531B76FE"/>
    <w:rsid w:val="545D78A2"/>
    <w:rsid w:val="548B440F"/>
    <w:rsid w:val="54AA6F8B"/>
    <w:rsid w:val="560E70A6"/>
    <w:rsid w:val="56680EAC"/>
    <w:rsid w:val="56807EC7"/>
    <w:rsid w:val="568B4B9B"/>
    <w:rsid w:val="56AC0011"/>
    <w:rsid w:val="58DA5965"/>
    <w:rsid w:val="590C5C18"/>
    <w:rsid w:val="5AA91A93"/>
    <w:rsid w:val="5BF27270"/>
    <w:rsid w:val="5C671404"/>
    <w:rsid w:val="5D6332CC"/>
    <w:rsid w:val="605E50CE"/>
    <w:rsid w:val="61B96A60"/>
    <w:rsid w:val="64CE2822"/>
    <w:rsid w:val="65FE0EE5"/>
    <w:rsid w:val="66212E26"/>
    <w:rsid w:val="664408C2"/>
    <w:rsid w:val="674943E2"/>
    <w:rsid w:val="679F04A6"/>
    <w:rsid w:val="67C1666E"/>
    <w:rsid w:val="68D67EF7"/>
    <w:rsid w:val="6B69597E"/>
    <w:rsid w:val="6E647D53"/>
    <w:rsid w:val="70981F36"/>
    <w:rsid w:val="71687B5B"/>
    <w:rsid w:val="725974A3"/>
    <w:rsid w:val="759A22AD"/>
    <w:rsid w:val="765344D8"/>
    <w:rsid w:val="76E2215D"/>
    <w:rsid w:val="78D6184E"/>
    <w:rsid w:val="7A1C7734"/>
    <w:rsid w:val="7A2E373E"/>
    <w:rsid w:val="7CC77E2B"/>
    <w:rsid w:val="7CE704CD"/>
    <w:rsid w:val="7D3B4375"/>
    <w:rsid w:val="7D783120"/>
    <w:rsid w:val="7E171D40"/>
    <w:rsid w:val="7E352137"/>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unhideWhenUsed/>
    <w:qFormat/>
    <w:uiPriority w:val="99"/>
    <w:pPr>
      <w:ind w:left="420" w:leftChars="200"/>
    </w:pPr>
    <w:rPr>
      <w:rFonts w:ascii="Calibri" w:hAnsi="Calibri"/>
      <w:szCs w:val="20"/>
    </w:rPr>
  </w:style>
  <w:style w:type="paragraph" w:styleId="5">
    <w:name w:val="annotation text"/>
    <w:basedOn w:val="1"/>
    <w:qFormat/>
    <w:uiPriority w:val="0"/>
    <w:pPr>
      <w:jc w:val="left"/>
    </w:pPr>
  </w:style>
  <w:style w:type="character" w:styleId="8">
    <w:name w:val="annotation reference"/>
    <w:basedOn w:val="7"/>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1983</Words>
  <Characters>2064</Characters>
  <Lines>0</Lines>
  <Paragraphs>0</Paragraphs>
  <TotalTime>27</TotalTime>
  <ScaleCrop>false</ScaleCrop>
  <LinksUpToDate>false</LinksUpToDate>
  <CharactersWithSpaces>2067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2026-01-22T03:07:00Z</dcterms:created>
  <dc:creator>Min敏</dc:creator>
  <cp:lastModifiedBy>Min敏</cp:lastModifiedBy>
  <cp:lastPrinted>2026-02-06T08:08:00Z</cp:lastPrinted>
  <dcterms:modified xsi:type="dcterms:W3CDTF">2026-02-09T07:36:45Z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67278ED293474662BE15CB72D2F4D2A5_13</vt:lpwstr>
  </property>
  <property fmtid="{D5CDD505-2E9C-101B-9397-08002B2CF9AE}" pid="4" name="KSOTemplateDocerSaveRecord">
    <vt:lpwstr>eyJoZGlkIjoiNGNjM2ExZGRjNjBjYjJlYzc1NDI4NjdhYjExYjUxMDYiLCJ1c2VySWQiOiI0NDE3MTQwODYifQ==</vt:lpwstr>
  </property>
</Properties>
</file>