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99767">
      <w:pPr>
        <w:pStyle w:val="16"/>
        <w:ind w:firstLine="0" w:firstLineChars="0"/>
        <w:rPr>
          <w:rFonts w:hint="eastAsia"/>
          <w:sz w:val="32"/>
          <w:szCs w:val="24"/>
        </w:rPr>
      </w:pPr>
      <w:r>
        <w:rPr>
          <w:rFonts w:hint="eastAsia"/>
          <w:sz w:val="32"/>
          <w:szCs w:val="24"/>
        </w:rPr>
        <w:t>附表2：</w:t>
      </w:r>
    </w:p>
    <w:p w14:paraId="1ED27F82">
      <w:pPr>
        <w:pStyle w:val="16"/>
        <w:ind w:firstLine="0" w:firstLineChars="0"/>
        <w:jc w:val="center"/>
        <w:rPr>
          <w:rFonts w:hint="eastAsia" w:eastAsia="仿宋"/>
          <w:b/>
          <w:bCs/>
          <w:sz w:val="32"/>
          <w:szCs w:val="24"/>
          <w:lang w:eastAsia="zh-CN"/>
        </w:rPr>
      </w:pPr>
      <w:r>
        <w:rPr>
          <w:rFonts w:hint="eastAsia"/>
          <w:b/>
          <w:bCs/>
          <w:sz w:val="32"/>
          <w:szCs w:val="24"/>
          <w:lang w:eastAsia="zh-CN"/>
        </w:rPr>
        <w:t>评分表</w:t>
      </w:r>
    </w:p>
    <w:tbl>
      <w:tblPr>
        <w:tblStyle w:val="18"/>
        <w:tblW w:w="943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1784"/>
        <w:gridCol w:w="766"/>
        <w:gridCol w:w="5937"/>
      </w:tblGrid>
      <w:tr w14:paraId="54F3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EE3F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评分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DBB0">
            <w:pPr>
              <w:widowControl/>
              <w:ind w:firstLine="48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评分因素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E36BF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评分标准</w:t>
            </w:r>
          </w:p>
        </w:tc>
      </w:tr>
      <w:tr w14:paraId="03A12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70F9DEFA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技术</w:t>
            </w:r>
          </w:p>
          <w:p w14:paraId="2972C9B3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评分</w:t>
            </w:r>
          </w:p>
          <w:p w14:paraId="41317F9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（30分）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F778BBB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TW" w:bidi="ar"/>
              </w:rPr>
              <w:t>产品要求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48C5E76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6FD6E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投标人所投产品选用的</w:t>
            </w:r>
            <w:bookmarkStart w:id="0" w:name="OLE_LINK3"/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电源模块</w:t>
            </w:r>
            <w:bookmarkEnd w:id="0"/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为“华为、英飞源、特来电、永联”等国内一线知名品牌或投标人具备电源模块自主研发和生产能力，得</w:t>
            </w:r>
            <w:r>
              <w:rPr>
                <w:rFonts w:ascii="宋体" w:hAnsi="宋体" w:eastAsia="宋体" w:cs="宋体"/>
                <w:color w:val="FF0000"/>
                <w:kern w:val="0"/>
                <w:sz w:val="24"/>
                <w:lang w:bidi="ar"/>
              </w:rPr>
              <w:t>4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分；</w:t>
            </w:r>
          </w:p>
          <w:p w14:paraId="0332A77A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注：需提供第三方相关证明材料。</w:t>
            </w:r>
          </w:p>
        </w:tc>
      </w:tr>
      <w:tr w14:paraId="2534C4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3" w:hRule="atLeas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EAABFE2">
            <w:pPr>
              <w:widowControl/>
              <w:ind w:firstLine="48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DF3BBA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ISO认证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C7BCA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CC579">
            <w:pPr>
              <w:widowControl/>
              <w:ind w:firstLine="480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TW" w:bidi="ar"/>
              </w:rPr>
              <w:t>投标人具备质量管理体系认证、环境管理体系认证、职业健康安全管理体系认证，相关认证应覆盖采购设备品类且在有效期内。三项得</w:t>
            </w:r>
            <w:r>
              <w:rPr>
                <w:rFonts w:ascii="宋体" w:hAnsi="宋体" w:eastAsia="宋体" w:cs="宋体"/>
                <w:kern w:val="0"/>
                <w:sz w:val="24"/>
                <w:lang w:val="zh-TW" w:bidi="ar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TW" w:bidi="ar"/>
              </w:rPr>
              <w:t>分，少1项扣1分。（若投标人为代理商，需提供制作商IOS认证体系）</w:t>
            </w:r>
          </w:p>
        </w:tc>
      </w:tr>
      <w:tr w14:paraId="59D0F5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5D7294">
            <w:pPr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FBB65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TW" w:bidi="ar"/>
              </w:rPr>
              <w:t>技术及安装实施方案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374FE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5分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7A9830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TW" w:bidi="ar"/>
              </w:rPr>
              <w:t>供应商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提供的完整的实施方案及质量保证措施，包括：技术团队、项目实施计划和工期安排及进度、质量保障措施、安全生产管理措施、项目验收方案等完整性、合理性.可行4-5分，基本可行2-3分，不可行0分。</w:t>
            </w:r>
          </w:p>
        </w:tc>
      </w:tr>
      <w:tr w14:paraId="5BD423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34E71D">
            <w:pPr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EB7B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有工期承诺、供货计划及验收方案并有处罚措施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74CB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03B7D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提供针对本项目工期承诺、供货计划、验收方案。完整性、合理性、可行3-4分，基本可行1-2分，不可行0分。</w:t>
            </w:r>
          </w:p>
        </w:tc>
      </w:tr>
      <w:tr w14:paraId="76633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" w:hRule="atLeas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A530A48">
            <w:pPr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04A4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备品备件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B53DA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B0619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4"/>
                <w:lang w:bidi="ar"/>
              </w:rPr>
              <w:t>投标人提供的备品备件数量和类型横向比较，可行3-4分，基本可行1-2分，不可行0分。需提供备品配件的数量和种类。</w:t>
            </w:r>
          </w:p>
        </w:tc>
      </w:tr>
      <w:tr w14:paraId="0DA523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204A848">
            <w:pPr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22F1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培训方案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0416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6E2184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供应商提供完整培训方案。完整性、合理性、可行3-4分，基本可行1-2分，不可行0分。</w:t>
            </w:r>
          </w:p>
        </w:tc>
      </w:tr>
      <w:tr w14:paraId="62BE91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656DF27">
            <w:pPr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27A6E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质保服务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66D51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6分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8BF1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基础质保期为3年，承诺每延长1年加3分，不承诺延长质保期不得分，本项最高得6分。</w:t>
            </w:r>
            <w:r>
              <w:rPr>
                <w:rFonts w:hint="eastAsia" w:ascii="宋体" w:hAnsi="宋体" w:eastAsia="宋体"/>
                <w:b/>
                <w:bCs/>
                <w:sz w:val="24"/>
              </w:rPr>
              <w:t>（提供质保期承诺函并加盖公章）</w:t>
            </w:r>
          </w:p>
        </w:tc>
      </w:tr>
      <w:tr w14:paraId="4D6876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6EDC2DD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商务</w:t>
            </w:r>
          </w:p>
          <w:p w14:paraId="7A6DDB5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评分</w:t>
            </w:r>
          </w:p>
          <w:p w14:paraId="3ED1D17A">
            <w:pPr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30分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A6D3F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投标人业绩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A2C7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9E656">
            <w:pPr>
              <w:spacing w:line="500" w:lineRule="exact"/>
              <w:ind w:firstLine="480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除资格业绩要求外，投标人近3年（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ar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ar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9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ar"/>
              </w:rPr>
              <w:t>月 1日起至投标截止日期止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）35万元及以上的充电桩设备供货及安装类似业绩，供货设备中单体直流充电桩功率不小于360KW。（须提供中标通知书或合同，业绩以有效证明文件的落款时间为准）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ar"/>
              </w:rPr>
              <w:t>，每多提供一项业绩得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ar"/>
              </w:rPr>
              <w:t>分，本项最高得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10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ar"/>
              </w:rPr>
              <w:t>分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。</w:t>
            </w:r>
          </w:p>
        </w:tc>
      </w:tr>
      <w:tr w14:paraId="3232C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A33BADD">
            <w:pPr>
              <w:ind w:firstLine="480"/>
              <w:jc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A7F4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售后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9897F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8分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B942A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（1）投标人承诺在质保期内免费为用户提供智能运维服务得3分，须提供投标自有的云平台软件著作权作及运维界面截图证明。</w:t>
            </w:r>
          </w:p>
          <w:p w14:paraId="25137B71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（2）投标人自有平台具备网络系统安全等级保护备案证明（3级）得3分。</w:t>
            </w:r>
          </w:p>
          <w:p w14:paraId="21E502F7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3）投标人提供的售后服务方案完整性（包括服务体系认证、服务响应、故障处理、信息化维保机制、设备维修便利性、用户评价等）进行横向对比，完全符合采购需求得2分，基本符合采购需求得1分，未提供或提供的内容缺失或不合理的得0分。</w:t>
            </w:r>
          </w:p>
        </w:tc>
      </w:tr>
      <w:tr w14:paraId="7F6132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0911E74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26E1885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产品责任险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92C30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5E4CD">
            <w:pPr>
              <w:adjustRightInd w:val="0"/>
              <w:snapToGrid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投标人</w:t>
            </w:r>
            <w:r>
              <w:rPr>
                <w:rFonts w:ascii="宋体" w:hAnsi="宋体" w:eastAsia="宋体" w:cs="宋体"/>
                <w:sz w:val="24"/>
              </w:rPr>
              <w:t>为</w:t>
            </w:r>
            <w:r>
              <w:rPr>
                <w:rFonts w:hint="eastAsia" w:ascii="宋体" w:hAnsi="宋体" w:eastAsia="宋体" w:cs="宋体"/>
                <w:sz w:val="24"/>
              </w:rPr>
              <w:t>本次投标</w:t>
            </w:r>
            <w:r>
              <w:rPr>
                <w:rFonts w:ascii="宋体" w:hAnsi="宋体" w:eastAsia="宋体" w:cs="宋体"/>
                <w:sz w:val="24"/>
              </w:rPr>
              <w:t>所提供的充电设备购买产品责任险</w:t>
            </w:r>
            <w:r>
              <w:rPr>
                <w:rFonts w:hint="eastAsia" w:ascii="宋体" w:hAnsi="宋体" w:eastAsia="宋体" w:cs="宋体"/>
                <w:sz w:val="24"/>
              </w:rPr>
              <w:t>：</w:t>
            </w:r>
          </w:p>
          <w:p w14:paraId="42795775">
            <w:pPr>
              <w:adjustRightInd w:val="0"/>
              <w:snapToGrid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保险期间累计赔偿限额</w:t>
            </w:r>
            <w:r>
              <w:rPr>
                <w:rFonts w:hint="eastAsia" w:ascii="宋体" w:hAnsi="宋体" w:eastAsia="宋体" w:cs="宋体"/>
                <w:sz w:val="24"/>
              </w:rPr>
              <w:t>3</w:t>
            </w:r>
            <w:r>
              <w:rPr>
                <w:rFonts w:ascii="宋体" w:hAnsi="宋体" w:eastAsia="宋体" w:cs="宋体"/>
                <w:sz w:val="24"/>
              </w:rPr>
              <w:t>000万元(含)人民币以上的</w:t>
            </w:r>
            <w:r>
              <w:rPr>
                <w:rFonts w:hint="eastAsia" w:ascii="宋体" w:hAnsi="宋体" w:eastAsia="宋体" w:cs="宋体"/>
                <w:sz w:val="24"/>
              </w:rPr>
              <w:t>、单次事故赔偿限额300万元及其以上</w:t>
            </w:r>
            <w:r>
              <w:rPr>
                <w:rFonts w:ascii="宋体" w:hAnsi="宋体" w:eastAsia="宋体" w:cs="宋体"/>
                <w:sz w:val="24"/>
              </w:rPr>
              <w:t>，得</w:t>
            </w:r>
            <w:r>
              <w:rPr>
                <w:rFonts w:hint="eastAsia" w:ascii="宋体" w:hAnsi="宋体" w:eastAsia="宋体" w:cs="宋体"/>
                <w:sz w:val="24"/>
              </w:rPr>
              <w:t>4</w:t>
            </w:r>
            <w:r>
              <w:rPr>
                <w:rFonts w:ascii="宋体" w:hAnsi="宋体" w:eastAsia="宋体" w:cs="宋体"/>
                <w:sz w:val="24"/>
              </w:rPr>
              <w:t>分;</w:t>
            </w:r>
          </w:p>
          <w:p w14:paraId="038D3FC5">
            <w:pPr>
              <w:adjustRightInd w:val="0"/>
              <w:snapToGrid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保险期间累计赔偿限额在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000(</w:t>
            </w:r>
            <w:r>
              <w:rPr>
                <w:rFonts w:hint="eastAsia" w:ascii="宋体" w:hAnsi="宋体" w:eastAsia="宋体" w:cs="宋体"/>
                <w:sz w:val="24"/>
              </w:rPr>
              <w:t>不</w:t>
            </w:r>
            <w:r>
              <w:rPr>
                <w:rFonts w:ascii="宋体" w:hAnsi="宋体" w:eastAsia="宋体" w:cs="宋体"/>
                <w:sz w:val="24"/>
              </w:rPr>
              <w:t>含)至</w:t>
            </w:r>
            <w:r>
              <w:rPr>
                <w:rFonts w:hint="eastAsia" w:ascii="宋体" w:hAnsi="宋体" w:eastAsia="宋体" w:cs="宋体"/>
                <w:sz w:val="24"/>
              </w:rPr>
              <w:t>3000</w:t>
            </w:r>
            <w:r>
              <w:rPr>
                <w:rFonts w:ascii="宋体" w:hAnsi="宋体" w:eastAsia="宋体" w:cs="宋体"/>
                <w:sz w:val="24"/>
              </w:rPr>
              <w:t>万元(</w:t>
            </w:r>
            <w:r>
              <w:rPr>
                <w:rFonts w:hint="eastAsia" w:ascii="宋体" w:hAnsi="宋体" w:eastAsia="宋体" w:cs="宋体"/>
                <w:sz w:val="24"/>
              </w:rPr>
              <w:t>不</w:t>
            </w:r>
            <w:r>
              <w:rPr>
                <w:rFonts w:ascii="宋体" w:hAnsi="宋体" w:eastAsia="宋体" w:cs="宋体"/>
                <w:sz w:val="24"/>
              </w:rPr>
              <w:t>含)人民币之间的</w:t>
            </w:r>
            <w:r>
              <w:rPr>
                <w:rFonts w:hint="eastAsia" w:ascii="宋体" w:hAnsi="宋体" w:eastAsia="宋体" w:cs="宋体"/>
                <w:sz w:val="24"/>
              </w:rPr>
              <w:t>、单次事故赔偿限额200万元及其以上</w:t>
            </w:r>
            <w:r>
              <w:rPr>
                <w:rFonts w:ascii="宋体" w:hAnsi="宋体" w:eastAsia="宋体" w:cs="宋体"/>
                <w:sz w:val="24"/>
              </w:rPr>
              <w:t>，得</w:t>
            </w:r>
            <w:r>
              <w:rPr>
                <w:rFonts w:hint="eastAsia" w:ascii="宋体" w:hAnsi="宋体" w:eastAsia="宋体" w:cs="宋体"/>
                <w:sz w:val="24"/>
              </w:rPr>
              <w:t>2</w:t>
            </w:r>
            <w:r>
              <w:rPr>
                <w:rFonts w:ascii="宋体" w:hAnsi="宋体" w:eastAsia="宋体" w:cs="宋体"/>
                <w:sz w:val="24"/>
              </w:rPr>
              <w:t>分;</w:t>
            </w:r>
          </w:p>
          <w:p w14:paraId="22F02A90">
            <w:pPr>
              <w:adjustRightInd w:val="0"/>
              <w:snapToGrid w:val="0"/>
              <w:ind w:firstLine="480"/>
              <w:rPr>
                <w:rFonts w:ascii="宋体" w:hAnsi="宋体" w:eastAsia="宋体" w:cs="宋体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保险期间累计赔偿限额低于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000万元(含)人民币的</w:t>
            </w:r>
            <w:r>
              <w:rPr>
                <w:rFonts w:hint="eastAsia" w:ascii="宋体" w:hAnsi="宋体" w:eastAsia="宋体" w:cs="宋体"/>
                <w:sz w:val="24"/>
              </w:rPr>
              <w:t>、单次事故赔偿限额100万元及其以上</w:t>
            </w:r>
            <w:r>
              <w:rPr>
                <w:rFonts w:ascii="宋体" w:hAnsi="宋体" w:eastAsia="宋体" w:cs="宋体"/>
                <w:sz w:val="24"/>
              </w:rPr>
              <w:t>，得</w:t>
            </w:r>
            <w:r>
              <w:rPr>
                <w:rFonts w:hint="eastAsia" w:ascii="宋体" w:hAnsi="宋体" w:eastAsia="宋体" w:cs="宋体"/>
                <w:sz w:val="24"/>
              </w:rPr>
              <w:t>1</w:t>
            </w:r>
            <w:r>
              <w:rPr>
                <w:rFonts w:ascii="宋体" w:hAnsi="宋体" w:eastAsia="宋体" w:cs="宋体"/>
                <w:sz w:val="24"/>
              </w:rPr>
              <w:t>分。</w:t>
            </w:r>
          </w:p>
          <w:p w14:paraId="13353E78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z w:val="24"/>
              </w:rPr>
              <w:t>【证明材料：须提供有效期内的充电桩产品保险保单加盖公章，累计赔偿额度所载信息为准】</w:t>
            </w:r>
          </w:p>
        </w:tc>
      </w:tr>
      <w:tr w14:paraId="33B93F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5" w:hRule="atLeast"/>
        </w:trPr>
        <w:tc>
          <w:tcPr>
            <w:tcW w:w="94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48A71D10">
            <w:pPr>
              <w:ind w:firstLine="48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CD63863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技术实力</w:t>
            </w:r>
          </w:p>
          <w:p w14:paraId="44541F87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（8分）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6B0134E">
            <w:pPr>
              <w:widowControl/>
              <w:ind w:firstLine="48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65D3C18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bookmarkStart w:id="1" w:name="OLE_LINK16"/>
            <w:bookmarkStart w:id="2" w:name="OLE_LINK15"/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一体式直流充电桩性能评审：</w:t>
            </w:r>
          </w:p>
          <w:bookmarkEnd w:id="1"/>
          <w:bookmarkEnd w:id="2"/>
          <w:p w14:paraId="38F06C15">
            <w:pPr>
              <w:widowControl/>
              <w:ind w:firstLine="480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1、充电桩支持休眠功能：充电桩在长时间未充电的情况下可以自行进入休眠模式，休眠模式断开交流接触器，系统待机功耗降低。</w:t>
            </w:r>
            <w:bookmarkStart w:id="3" w:name="OLE_LINK14"/>
            <w:r>
              <w:rPr>
                <w:rFonts w:hint="eastAsia" w:ascii="宋体" w:hAnsi="宋体" w:eastAsia="宋体"/>
                <w:sz w:val="24"/>
              </w:rPr>
              <w:t>满足得1分，不满足不得分。</w:t>
            </w:r>
          </w:p>
          <w:bookmarkEnd w:id="3"/>
          <w:p w14:paraId="09B7A647">
            <w:pPr>
              <w:widowControl/>
              <w:ind w:firstLine="480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2、充电桩具备插枪归位提醒功能：充电完成拔枪后未归位，系统提示请还枪归位，减少枪头随意放置的情况。满足得2分，不满足不得分。</w:t>
            </w:r>
          </w:p>
          <w:p w14:paraId="4AD246C8">
            <w:pPr>
              <w:widowControl/>
              <w:ind w:firstLine="480"/>
              <w:textAlignment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3、充电桩支持双枪同充功能，两把枪给一辆车充电，可实现最大功率输出，满足得1分，不满足不得分；</w:t>
            </w:r>
          </w:p>
          <w:p w14:paraId="1343A965">
            <w:pPr>
              <w:pStyle w:val="27"/>
              <w:spacing w:before="72" w:line="240" w:lineRule="auto"/>
              <w:ind w:left="-22" w:leftChars="-7" w:right="134" w:firstLine="516"/>
              <w:jc w:val="both"/>
              <w:rPr>
                <w:rFonts w:hint="default"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pacing w:val="9"/>
                <w:sz w:val="24"/>
                <w:szCs w:val="24"/>
              </w:rPr>
              <w:t>4、提供的直流充电机任意一个充电模块/功率分配单元故障，不</w:t>
            </w:r>
            <w:r>
              <w:rPr>
                <w:rFonts w:ascii="宋体" w:hAnsi="宋体" w:eastAsia="宋体"/>
                <w:spacing w:val="8"/>
                <w:sz w:val="24"/>
                <w:szCs w:val="24"/>
              </w:rPr>
              <w:t>影响其他回路正常输出。</w:t>
            </w:r>
            <w:r>
              <w:rPr>
                <w:rFonts w:ascii="宋体" w:hAnsi="宋体" w:eastAsia="宋体"/>
                <w:sz w:val="24"/>
                <w:szCs w:val="24"/>
              </w:rPr>
              <w:t>满足得2分，不满足不得分。</w:t>
            </w:r>
          </w:p>
          <w:p w14:paraId="5AFA0298">
            <w:pPr>
              <w:widowControl/>
              <w:ind w:firstLine="508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/>
                <w:spacing w:val="7"/>
                <w:sz w:val="24"/>
              </w:rPr>
              <w:t>5、</w:t>
            </w:r>
            <w:r>
              <w:rPr>
                <w:rFonts w:ascii="宋体" w:hAnsi="宋体" w:eastAsia="宋体"/>
                <w:spacing w:val="7"/>
                <w:sz w:val="24"/>
              </w:rPr>
              <w:t>提供的充电机直流输出母线具备防逆流</w:t>
            </w:r>
            <w:r>
              <w:rPr>
                <w:rFonts w:ascii="宋体" w:hAnsi="宋体" w:eastAsia="宋体"/>
                <w:spacing w:val="6"/>
                <w:sz w:val="24"/>
              </w:rPr>
              <w:t>装置，防逆流装置安装</w:t>
            </w:r>
            <w:r>
              <w:rPr>
                <w:rFonts w:ascii="宋体" w:hAnsi="宋体" w:eastAsia="宋体"/>
                <w:spacing w:val="9"/>
                <w:sz w:val="24"/>
              </w:rPr>
              <w:t>在功率分配单元与充电接口之间，防止蓄电池电流倒灌引起的安</w:t>
            </w:r>
            <w:r>
              <w:rPr>
                <w:rFonts w:ascii="宋体" w:hAnsi="宋体" w:eastAsia="宋体"/>
                <w:spacing w:val="5"/>
                <w:sz w:val="24"/>
              </w:rPr>
              <w:t>全问题。</w:t>
            </w:r>
            <w:r>
              <w:rPr>
                <w:rFonts w:hint="eastAsia" w:ascii="宋体" w:hAnsi="宋体" w:eastAsia="宋体"/>
                <w:sz w:val="24"/>
              </w:rPr>
              <w:t>满足得2分，不满足不得分。</w:t>
            </w:r>
          </w:p>
          <w:p w14:paraId="6968F2A6">
            <w:pPr>
              <w:widowControl/>
              <w:ind w:firstLine="480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</w:rPr>
              <w:t>【证明材料】需提供承诺文件</w:t>
            </w:r>
          </w:p>
        </w:tc>
      </w:tr>
      <w:tr w14:paraId="76F0E8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27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FDCA09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报价</w:t>
            </w:r>
          </w:p>
          <w:p w14:paraId="5697955E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得分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AF698">
            <w:pPr>
              <w:widowControl/>
              <w:ind w:firstLine="0" w:firstLineChars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40</w:t>
            </w:r>
            <w:r>
              <w:rPr>
                <w:rFonts w:hint="eastAsia" w:ascii="宋体" w:hAnsi="宋体" w:eastAsia="宋体" w:cs="宋体"/>
                <w:sz w:val="24"/>
              </w:rPr>
              <w:t>分</w:t>
            </w:r>
          </w:p>
        </w:tc>
        <w:tc>
          <w:tcPr>
            <w:tcW w:w="5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63D9D">
            <w:pPr>
              <w:widowControl/>
              <w:ind w:firstLine="512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新宋体"/>
                <w:spacing w:val="8"/>
                <w:kern w:val="0"/>
                <w:sz w:val="24"/>
              </w:rPr>
              <w:t>基准价为评审合格的投标人投标报价去掉一个最高价、一个最低价的平均值（少于或等于5家的，直接取平均值）。投标人报价比评标基准价每高出1%扣1分，扣完为止；投标人报价比评标基准价每低1%扣0.2分，扣完为止；由此得出各投标人的投标报价得分（保留小数点后两位数字，第三位四舍五入），投标价得分的计算方法：40-丨（评标基准价-投标人报价）/评标基准价丨×100×E，E取值1或0.2</w:t>
            </w:r>
          </w:p>
        </w:tc>
      </w:tr>
    </w:tbl>
    <w:p w14:paraId="04D3C324">
      <w:pPr>
        <w:pStyle w:val="16"/>
        <w:ind w:firstLine="0" w:firstLineChars="0"/>
        <w:rPr>
          <w:sz w:val="32"/>
          <w:szCs w:val="24"/>
        </w:rPr>
      </w:pPr>
    </w:p>
    <w:p w14:paraId="0304DCBD">
      <w:pPr>
        <w:pStyle w:val="16"/>
        <w:ind w:firstLine="0" w:firstLineChars="0"/>
        <w:sectPr>
          <w:headerReference r:id="rId5" w:type="default"/>
          <w:footerReference r:id="rId6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4" w:name="_GoBack"/>
      <w:bookmarkEnd w:id="4"/>
    </w:p>
    <w:p w14:paraId="74350F32"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B0EAF">
    <w:pPr>
      <w:pStyle w:val="13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633009FC">
                          <w:pPr>
                            <w:pStyle w:val="13"/>
                            <w:ind w:firstLine="360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v9QemMoBAACW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33009FC">
                    <w:pPr>
                      <w:pStyle w:val="13"/>
                      <w:ind w:firstLine="360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21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32667">
    <w:pPr>
      <w:pStyle w:val="1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2BA8"/>
    <w:rsid w:val="00014B87"/>
    <w:rsid w:val="00037F1E"/>
    <w:rsid w:val="000677C7"/>
    <w:rsid w:val="000806FA"/>
    <w:rsid w:val="000A2CBC"/>
    <w:rsid w:val="000B7929"/>
    <w:rsid w:val="000C2C19"/>
    <w:rsid w:val="000D5622"/>
    <w:rsid w:val="000E24E5"/>
    <w:rsid w:val="001102F0"/>
    <w:rsid w:val="0011199B"/>
    <w:rsid w:val="0012308F"/>
    <w:rsid w:val="00124144"/>
    <w:rsid w:val="00134365"/>
    <w:rsid w:val="00171905"/>
    <w:rsid w:val="00172A27"/>
    <w:rsid w:val="00173EFE"/>
    <w:rsid w:val="0017639B"/>
    <w:rsid w:val="00177F60"/>
    <w:rsid w:val="001B1B97"/>
    <w:rsid w:val="00244DDE"/>
    <w:rsid w:val="00252A6D"/>
    <w:rsid w:val="00273FA4"/>
    <w:rsid w:val="00283B98"/>
    <w:rsid w:val="00293D5B"/>
    <w:rsid w:val="002A7957"/>
    <w:rsid w:val="002B5B39"/>
    <w:rsid w:val="002D01B2"/>
    <w:rsid w:val="00307AB4"/>
    <w:rsid w:val="0033279F"/>
    <w:rsid w:val="00334774"/>
    <w:rsid w:val="00336090"/>
    <w:rsid w:val="00353899"/>
    <w:rsid w:val="0037594C"/>
    <w:rsid w:val="003C3842"/>
    <w:rsid w:val="003F4D5B"/>
    <w:rsid w:val="00414F8D"/>
    <w:rsid w:val="00417CF7"/>
    <w:rsid w:val="004528BF"/>
    <w:rsid w:val="004550EB"/>
    <w:rsid w:val="00472D18"/>
    <w:rsid w:val="004C16DD"/>
    <w:rsid w:val="004F12BD"/>
    <w:rsid w:val="00544393"/>
    <w:rsid w:val="00561780"/>
    <w:rsid w:val="0056377B"/>
    <w:rsid w:val="0059095E"/>
    <w:rsid w:val="005916E5"/>
    <w:rsid w:val="005A5B4E"/>
    <w:rsid w:val="005E67BD"/>
    <w:rsid w:val="005E6F93"/>
    <w:rsid w:val="005F0D84"/>
    <w:rsid w:val="005F1F7C"/>
    <w:rsid w:val="005F700E"/>
    <w:rsid w:val="005F7AAD"/>
    <w:rsid w:val="006073AA"/>
    <w:rsid w:val="00621946"/>
    <w:rsid w:val="006310FE"/>
    <w:rsid w:val="00645A47"/>
    <w:rsid w:val="006566EA"/>
    <w:rsid w:val="0067096B"/>
    <w:rsid w:val="00670F7E"/>
    <w:rsid w:val="00672386"/>
    <w:rsid w:val="0067759A"/>
    <w:rsid w:val="00692C55"/>
    <w:rsid w:val="0070783F"/>
    <w:rsid w:val="00727BC0"/>
    <w:rsid w:val="00766268"/>
    <w:rsid w:val="007677F3"/>
    <w:rsid w:val="007731D6"/>
    <w:rsid w:val="007C010F"/>
    <w:rsid w:val="00841C07"/>
    <w:rsid w:val="008547D0"/>
    <w:rsid w:val="00867BA0"/>
    <w:rsid w:val="00882093"/>
    <w:rsid w:val="008927EA"/>
    <w:rsid w:val="008E2923"/>
    <w:rsid w:val="008E34F9"/>
    <w:rsid w:val="00901558"/>
    <w:rsid w:val="00923BCE"/>
    <w:rsid w:val="0095695C"/>
    <w:rsid w:val="00973F32"/>
    <w:rsid w:val="009807DC"/>
    <w:rsid w:val="00981D32"/>
    <w:rsid w:val="009924A2"/>
    <w:rsid w:val="009A54E3"/>
    <w:rsid w:val="009D2C6E"/>
    <w:rsid w:val="009D3629"/>
    <w:rsid w:val="009F5249"/>
    <w:rsid w:val="009F5BF2"/>
    <w:rsid w:val="00A16F9F"/>
    <w:rsid w:val="00A3467A"/>
    <w:rsid w:val="00A66B2B"/>
    <w:rsid w:val="00A74AC5"/>
    <w:rsid w:val="00A778F6"/>
    <w:rsid w:val="00A92256"/>
    <w:rsid w:val="00AC327F"/>
    <w:rsid w:val="00AE176C"/>
    <w:rsid w:val="00B235CB"/>
    <w:rsid w:val="00B25CAB"/>
    <w:rsid w:val="00B37361"/>
    <w:rsid w:val="00B37456"/>
    <w:rsid w:val="00B56782"/>
    <w:rsid w:val="00B9741A"/>
    <w:rsid w:val="00BB334B"/>
    <w:rsid w:val="00BB70F5"/>
    <w:rsid w:val="00BD7229"/>
    <w:rsid w:val="00BF1C63"/>
    <w:rsid w:val="00C0598E"/>
    <w:rsid w:val="00C30D10"/>
    <w:rsid w:val="00C45B85"/>
    <w:rsid w:val="00C60F27"/>
    <w:rsid w:val="00C72EF3"/>
    <w:rsid w:val="00CE0912"/>
    <w:rsid w:val="00CF12F9"/>
    <w:rsid w:val="00CF6C18"/>
    <w:rsid w:val="00D00B39"/>
    <w:rsid w:val="00D30BC4"/>
    <w:rsid w:val="00D746B3"/>
    <w:rsid w:val="00D806C2"/>
    <w:rsid w:val="00D95885"/>
    <w:rsid w:val="00DB1C14"/>
    <w:rsid w:val="00DE0532"/>
    <w:rsid w:val="00E4264E"/>
    <w:rsid w:val="00E51613"/>
    <w:rsid w:val="00E90CDE"/>
    <w:rsid w:val="00EB6D83"/>
    <w:rsid w:val="00F44816"/>
    <w:rsid w:val="00F52414"/>
    <w:rsid w:val="00F75477"/>
    <w:rsid w:val="00FA70BC"/>
    <w:rsid w:val="00FB6D7E"/>
    <w:rsid w:val="00FD7570"/>
    <w:rsid w:val="00FE3344"/>
    <w:rsid w:val="0137703F"/>
    <w:rsid w:val="01CA6FC4"/>
    <w:rsid w:val="023F5184"/>
    <w:rsid w:val="02490865"/>
    <w:rsid w:val="05444896"/>
    <w:rsid w:val="06D8597D"/>
    <w:rsid w:val="07020ED4"/>
    <w:rsid w:val="08C67DB5"/>
    <w:rsid w:val="08E579ED"/>
    <w:rsid w:val="0ABB5B32"/>
    <w:rsid w:val="0C5F4E1E"/>
    <w:rsid w:val="0D803E67"/>
    <w:rsid w:val="0E4E1A6A"/>
    <w:rsid w:val="0E4F7BF4"/>
    <w:rsid w:val="0F353A1A"/>
    <w:rsid w:val="1208500C"/>
    <w:rsid w:val="128173C5"/>
    <w:rsid w:val="1399257F"/>
    <w:rsid w:val="13AE025C"/>
    <w:rsid w:val="159506AA"/>
    <w:rsid w:val="17D46D02"/>
    <w:rsid w:val="18A03D41"/>
    <w:rsid w:val="19361BAF"/>
    <w:rsid w:val="19594D84"/>
    <w:rsid w:val="198C7217"/>
    <w:rsid w:val="1A5C35C2"/>
    <w:rsid w:val="1CBB0CAE"/>
    <w:rsid w:val="1F122EF7"/>
    <w:rsid w:val="1F9306FE"/>
    <w:rsid w:val="1FC13468"/>
    <w:rsid w:val="20C75D4B"/>
    <w:rsid w:val="21280363"/>
    <w:rsid w:val="21611D1C"/>
    <w:rsid w:val="22286AF3"/>
    <w:rsid w:val="242057A9"/>
    <w:rsid w:val="265A7339"/>
    <w:rsid w:val="27577736"/>
    <w:rsid w:val="275B2426"/>
    <w:rsid w:val="285831B2"/>
    <w:rsid w:val="2A3264A9"/>
    <w:rsid w:val="2B766067"/>
    <w:rsid w:val="2C3E1A72"/>
    <w:rsid w:val="2C4D16AB"/>
    <w:rsid w:val="2C645D8D"/>
    <w:rsid w:val="2EB4366E"/>
    <w:rsid w:val="2FEA01E9"/>
    <w:rsid w:val="2FEC7C3A"/>
    <w:rsid w:val="329B7B20"/>
    <w:rsid w:val="33440D6D"/>
    <w:rsid w:val="34D86A5F"/>
    <w:rsid w:val="34E533D4"/>
    <w:rsid w:val="34FE472D"/>
    <w:rsid w:val="35574416"/>
    <w:rsid w:val="360F20D6"/>
    <w:rsid w:val="36135BB1"/>
    <w:rsid w:val="374D74BF"/>
    <w:rsid w:val="38611E50"/>
    <w:rsid w:val="38A225D0"/>
    <w:rsid w:val="392F3BA2"/>
    <w:rsid w:val="393B6E71"/>
    <w:rsid w:val="39606947"/>
    <w:rsid w:val="39DB5497"/>
    <w:rsid w:val="3A624C75"/>
    <w:rsid w:val="3B154BB1"/>
    <w:rsid w:val="3BAD74F8"/>
    <w:rsid w:val="3CCE7D0E"/>
    <w:rsid w:val="406E27D1"/>
    <w:rsid w:val="406F3C61"/>
    <w:rsid w:val="40C23EB2"/>
    <w:rsid w:val="40E71B37"/>
    <w:rsid w:val="40F97CA8"/>
    <w:rsid w:val="425C1E19"/>
    <w:rsid w:val="439D3E70"/>
    <w:rsid w:val="43BC0B23"/>
    <w:rsid w:val="44507E26"/>
    <w:rsid w:val="45D469B4"/>
    <w:rsid w:val="461270B9"/>
    <w:rsid w:val="46572996"/>
    <w:rsid w:val="467B49B9"/>
    <w:rsid w:val="477473F1"/>
    <w:rsid w:val="48420F8B"/>
    <w:rsid w:val="4B2C42DE"/>
    <w:rsid w:val="4B8C33AD"/>
    <w:rsid w:val="4BB55143"/>
    <w:rsid w:val="4BCE2BCB"/>
    <w:rsid w:val="4D297114"/>
    <w:rsid w:val="50417D88"/>
    <w:rsid w:val="506F5CE1"/>
    <w:rsid w:val="527929E9"/>
    <w:rsid w:val="53473429"/>
    <w:rsid w:val="53B603D5"/>
    <w:rsid w:val="540E6587"/>
    <w:rsid w:val="54C4151E"/>
    <w:rsid w:val="54E50366"/>
    <w:rsid w:val="557A5E63"/>
    <w:rsid w:val="57F62C06"/>
    <w:rsid w:val="588D4677"/>
    <w:rsid w:val="596500A8"/>
    <w:rsid w:val="5B3F570A"/>
    <w:rsid w:val="5BED6BC4"/>
    <w:rsid w:val="5C7F651B"/>
    <w:rsid w:val="5C8D12D3"/>
    <w:rsid w:val="5CAF63AA"/>
    <w:rsid w:val="5CF12E02"/>
    <w:rsid w:val="601161B9"/>
    <w:rsid w:val="612229C7"/>
    <w:rsid w:val="650C50F9"/>
    <w:rsid w:val="65D225D6"/>
    <w:rsid w:val="67FC44A4"/>
    <w:rsid w:val="692D7D59"/>
    <w:rsid w:val="695F628D"/>
    <w:rsid w:val="69C72314"/>
    <w:rsid w:val="69E20164"/>
    <w:rsid w:val="6A1271A7"/>
    <w:rsid w:val="6AA13003"/>
    <w:rsid w:val="6D0503F0"/>
    <w:rsid w:val="6D905244"/>
    <w:rsid w:val="6E8F0DAA"/>
    <w:rsid w:val="6EE57C3B"/>
    <w:rsid w:val="6F1C0E40"/>
    <w:rsid w:val="703F4F52"/>
    <w:rsid w:val="716F2336"/>
    <w:rsid w:val="71BB1844"/>
    <w:rsid w:val="737E1181"/>
    <w:rsid w:val="74B70E22"/>
    <w:rsid w:val="75FB2539"/>
    <w:rsid w:val="77166883"/>
    <w:rsid w:val="77F549C4"/>
    <w:rsid w:val="789F2BF8"/>
    <w:rsid w:val="79547289"/>
    <w:rsid w:val="7A825509"/>
    <w:rsid w:val="7B174C7C"/>
    <w:rsid w:val="7B7656C9"/>
    <w:rsid w:val="7C075F99"/>
    <w:rsid w:val="7C61005E"/>
    <w:rsid w:val="7D2057C6"/>
    <w:rsid w:val="7D3B4DF5"/>
    <w:rsid w:val="7FB3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 w:cs="仿宋_GB2312"/>
      <w:kern w:val="44"/>
      <w:szCs w:val="32"/>
    </w:rPr>
  </w:style>
  <w:style w:type="paragraph" w:styleId="4">
    <w:name w:val="heading 2"/>
    <w:basedOn w:val="1"/>
    <w:next w:val="5"/>
    <w:link w:val="23"/>
    <w:semiHidden/>
    <w:unhideWhenUsed/>
    <w:qFormat/>
    <w:uiPriority w:val="0"/>
    <w:pPr>
      <w:keepNext/>
      <w:keepLines/>
      <w:outlineLvl w:val="1"/>
    </w:pPr>
    <w:rPr>
      <w:rFonts w:ascii="Calibri Light" w:hAnsi="Calibri Light" w:eastAsia="楷体"/>
      <w:b/>
      <w:bCs/>
      <w:szCs w:val="32"/>
    </w:rPr>
  </w:style>
  <w:style w:type="paragraph" w:styleId="6">
    <w:name w:val="heading 3"/>
    <w:basedOn w:val="1"/>
    <w:next w:val="1"/>
    <w:link w:val="21"/>
    <w:semiHidden/>
    <w:unhideWhenUsed/>
    <w:qFormat/>
    <w:uiPriority w:val="0"/>
    <w:pPr>
      <w:keepNext/>
      <w:keepLines/>
      <w:spacing w:before="140" w:after="140" w:line="240" w:lineRule="auto"/>
      <w:ind w:firstLine="1041"/>
      <w:outlineLvl w:val="2"/>
    </w:pPr>
    <w:rPr>
      <w:rFonts w:asciiTheme="minorHAnsi" w:hAnsiTheme="minorHAnsi" w:eastAsiaTheme="minorEastAsia" w:cstheme="minorBidi"/>
      <w:b/>
      <w:szCs w:val="22"/>
    </w:rPr>
  </w:style>
  <w:style w:type="paragraph" w:styleId="7">
    <w:name w:val="heading 4"/>
    <w:basedOn w:val="1"/>
    <w:next w:val="1"/>
    <w:link w:val="22"/>
    <w:semiHidden/>
    <w:unhideWhenUsed/>
    <w:qFormat/>
    <w:uiPriority w:val="0"/>
    <w:pPr>
      <w:keepNext/>
      <w:keepLines/>
      <w:spacing w:before="60" w:after="60" w:line="240" w:lineRule="auto"/>
      <w:ind w:firstLine="1041"/>
      <w:outlineLvl w:val="3"/>
    </w:pPr>
    <w:rPr>
      <w:rFonts w:ascii="Arial" w:hAnsi="Arial" w:eastAsia="黑体" w:cstheme="minorBidi"/>
      <w:b/>
      <w:sz w:val="28"/>
      <w:szCs w:val="22"/>
    </w:rPr>
  </w:style>
  <w:style w:type="paragraph" w:styleId="8">
    <w:name w:val="heading 5"/>
    <w:basedOn w:val="1"/>
    <w:next w:val="1"/>
    <w:semiHidden/>
    <w:unhideWhenUsed/>
    <w:qFormat/>
    <w:uiPriority w:val="0"/>
    <w:pPr>
      <w:keepNext/>
      <w:keepLines/>
      <w:spacing w:line="240" w:lineRule="auto"/>
      <w:ind w:firstLine="1041"/>
      <w:outlineLvl w:val="4"/>
    </w:pPr>
    <w:rPr>
      <w:rFonts w:asciiTheme="minorHAnsi" w:hAnsiTheme="minorHAnsi" w:eastAsiaTheme="minorEastAsia" w:cstheme="minorBidi"/>
      <w:b/>
      <w:sz w:val="28"/>
      <w:szCs w:val="22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</w:tabs>
      <w:outlineLvl w:val="0"/>
    </w:pPr>
    <w:rPr>
      <w:rFonts w:eastAsia="仿宋_GB2312"/>
      <w:b/>
      <w:sz w:val="24"/>
      <w:szCs w:val="20"/>
    </w:rPr>
  </w:style>
  <w:style w:type="paragraph" w:styleId="5">
    <w:name w:val="Normal Indent"/>
    <w:basedOn w:val="1"/>
    <w:qFormat/>
    <w:uiPriority w:val="0"/>
    <w:pPr>
      <w:spacing w:line="360" w:lineRule="auto"/>
    </w:pPr>
    <w:rPr>
      <w:sz w:val="24"/>
    </w:rPr>
  </w:style>
  <w:style w:type="paragraph" w:styleId="9">
    <w:name w:val="table of authorities"/>
    <w:basedOn w:val="1"/>
    <w:next w:val="1"/>
    <w:unhideWhenUsed/>
    <w:qFormat/>
    <w:uiPriority w:val="99"/>
    <w:pPr>
      <w:ind w:left="420" w:leftChars="200"/>
    </w:pPr>
    <w:rPr>
      <w:szCs w:val="20"/>
    </w:rPr>
  </w:style>
  <w:style w:type="paragraph" w:styleId="10">
    <w:name w:val="annotation text"/>
    <w:basedOn w:val="1"/>
    <w:qFormat/>
    <w:uiPriority w:val="0"/>
    <w:pPr>
      <w:jc w:val="left"/>
    </w:pPr>
  </w:style>
  <w:style w:type="paragraph" w:styleId="11">
    <w:name w:val="Body Text"/>
    <w:basedOn w:val="1"/>
    <w:next w:val="1"/>
    <w:qFormat/>
    <w:uiPriority w:val="1"/>
    <w:rPr>
      <w:sz w:val="21"/>
      <w:szCs w:val="21"/>
    </w:rPr>
  </w:style>
  <w:style w:type="paragraph" w:styleId="12">
    <w:name w:val="Balloon Text"/>
    <w:basedOn w:val="1"/>
    <w:link w:val="26"/>
    <w:qFormat/>
    <w:uiPriority w:val="0"/>
    <w:pPr>
      <w:spacing w:line="240" w:lineRule="auto"/>
    </w:pPr>
    <w:rPr>
      <w:sz w:val="18"/>
      <w:szCs w:val="18"/>
    </w:rPr>
  </w:style>
  <w:style w:type="paragraph" w:styleId="1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6">
    <w:name w:val="Body Text First Indent"/>
    <w:basedOn w:val="11"/>
    <w:unhideWhenUsed/>
    <w:qFormat/>
    <w:uiPriority w:val="99"/>
    <w:pPr>
      <w:ind w:firstLine="420" w:firstLineChars="100"/>
    </w:pPr>
  </w:style>
  <w:style w:type="paragraph" w:styleId="17">
    <w:name w:val="Body Text First Indent 2"/>
    <w:basedOn w:val="1"/>
    <w:next w:val="1"/>
    <w:qFormat/>
    <w:uiPriority w:val="0"/>
    <w:pPr>
      <w:ind w:firstLine="420"/>
    </w:pPr>
  </w:style>
  <w:style w:type="paragraph" w:customStyle="1" w:styleId="20">
    <w:name w:val="Default"/>
    <w:unhideWhenUsed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hint="eastAsia" w:ascii="Arial" w:hAnsi="Arial" w:eastAsia="宋体" w:cs="Times New Roman"/>
      <w:color w:val="000000"/>
      <w:sz w:val="24"/>
      <w:szCs w:val="22"/>
      <w:lang w:val="en-US" w:eastAsia="zh-CN" w:bidi="ar-SA"/>
    </w:rPr>
  </w:style>
  <w:style w:type="character" w:customStyle="1" w:styleId="21">
    <w:name w:val="标题 3 Char"/>
    <w:link w:val="6"/>
    <w:qFormat/>
    <w:uiPriority w:val="9"/>
    <w:rPr>
      <w:rFonts w:asciiTheme="minorHAnsi" w:hAnsiTheme="minorHAnsi" w:eastAsiaTheme="minorEastAsia" w:cstheme="minorBidi"/>
      <w:b/>
      <w:sz w:val="32"/>
      <w:szCs w:val="22"/>
    </w:rPr>
  </w:style>
  <w:style w:type="character" w:customStyle="1" w:styleId="22">
    <w:name w:val="标题 4 Char"/>
    <w:link w:val="7"/>
    <w:qFormat/>
    <w:uiPriority w:val="9"/>
    <w:rPr>
      <w:rFonts w:ascii="Arial" w:hAnsi="Arial" w:eastAsia="黑体" w:cstheme="minorBidi"/>
      <w:b/>
      <w:sz w:val="28"/>
      <w:szCs w:val="22"/>
    </w:rPr>
  </w:style>
  <w:style w:type="character" w:customStyle="1" w:styleId="23">
    <w:name w:val="标题 2 Char"/>
    <w:basedOn w:val="19"/>
    <w:link w:val="4"/>
    <w:qFormat/>
    <w:uiPriority w:val="9"/>
    <w:rPr>
      <w:rFonts w:eastAsia="宋体" w:cs="Times New Roman" w:asciiTheme="majorHAnsi" w:hAnsiTheme="majorHAnsi"/>
      <w:b/>
      <w:bCs/>
      <w:sz w:val="32"/>
      <w:szCs w:val="32"/>
    </w:rPr>
  </w:style>
  <w:style w:type="paragraph" w:styleId="24">
    <w:name w:val="List Paragraph"/>
    <w:basedOn w:val="1"/>
    <w:qFormat/>
    <w:uiPriority w:val="99"/>
    <w:pPr>
      <w:ind w:firstLine="420"/>
    </w:pPr>
  </w:style>
  <w:style w:type="paragraph" w:styleId="25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6">
    <w:name w:val="批注框文本 Char"/>
    <w:basedOn w:val="19"/>
    <w:link w:val="12"/>
    <w:qFormat/>
    <w:uiPriority w:val="0"/>
    <w:rPr>
      <w:rFonts w:ascii="Calibri" w:hAnsi="Calibri" w:eastAsia="仿宋"/>
      <w:kern w:val="2"/>
      <w:sz w:val="18"/>
      <w:szCs w:val="18"/>
    </w:rPr>
  </w:style>
  <w:style w:type="paragraph" w:customStyle="1" w:styleId="27">
    <w:name w:val="Table Text"/>
    <w:basedOn w:val="1"/>
    <w:qFormat/>
    <w:uiPriority w:val="0"/>
    <w:pPr>
      <w:topLinePunct/>
      <w:adjustRightInd w:val="0"/>
      <w:snapToGrid w:val="0"/>
      <w:spacing w:before="80" w:after="80" w:line="240" w:lineRule="atLeast"/>
      <w:jc w:val="left"/>
    </w:pPr>
    <w:rPr>
      <w:rFonts w:hint="eastAsia" w:ascii="Cambria" w:hAnsi="Cambria" w:cs="新宋体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1EC12C-F0E7-4B44-B0A0-10E9B2DC6B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5</Pages>
  <Words>10849</Words>
  <Characters>11418</Characters>
  <Lines>86</Lines>
  <Paragraphs>24</Paragraphs>
  <TotalTime>10</TotalTime>
  <ScaleCrop>false</ScaleCrop>
  <LinksUpToDate>false</LinksUpToDate>
  <CharactersWithSpaces>11721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2025-04-07T09:01:00Z</dcterms:created>
  <dc:creator>要study去了</dc:creator>
  <cp:lastModifiedBy>张鑫</cp:lastModifiedBy>
  <cp:lastPrinted>2025-04-08T03:19:00Z</cp:lastPrinted>
  <dcterms:modified xsi:type="dcterms:W3CDTF">2025-09-30T06:49:05Z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53D10403B51448C8843324482D11873C_13</vt:lpwstr>
  </property>
  <property fmtid="{D5CDD505-2E9C-101B-9397-08002B2CF9AE}" pid="4" name="KSOTemplateDocerSaveRecord">
    <vt:lpwstr>eyJoZGlkIjoiOTA0M2Y2OGU5ZDIzZWZlMzZhYWJjZTY0MmRjNDgzOTEiLCJ1c2VySWQiOiIyMzY4ODIxNDQifQ==</vt:lpwstr>
  </property>
</Properties>
</file>