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E78E1">
      <w:pPr>
        <w:pStyle w:val="16"/>
        <w:spacing w:line="500" w:lineRule="exact"/>
        <w:ind w:firstLine="321"/>
        <w:rPr>
          <w:b/>
          <w:sz w:val="32"/>
          <w:szCs w:val="24"/>
        </w:rPr>
      </w:pPr>
      <w:r>
        <w:rPr>
          <w:rFonts w:hint="eastAsia"/>
          <w:b/>
          <w:sz w:val="32"/>
          <w:szCs w:val="24"/>
        </w:rPr>
        <w:t>附件</w:t>
      </w:r>
      <w:r>
        <w:rPr>
          <w:b/>
          <w:sz w:val="32"/>
          <w:szCs w:val="24"/>
        </w:rPr>
        <w:t>1</w:t>
      </w:r>
      <w:r>
        <w:rPr>
          <w:rFonts w:hint="eastAsia"/>
          <w:b/>
          <w:sz w:val="32"/>
          <w:szCs w:val="24"/>
        </w:rPr>
        <w:t>：货物采购需求及其他要求</w:t>
      </w:r>
    </w:p>
    <w:p w14:paraId="298D6A3A">
      <w:pPr>
        <w:spacing w:line="500" w:lineRule="exact"/>
        <w:ind w:firstLine="644"/>
        <w:rPr>
          <w:rFonts w:ascii="楷体_GB2312" w:hAnsi="宋体" w:eastAsia="楷体_GB2312" w:cs="宋体"/>
          <w:szCs w:val="21"/>
        </w:rPr>
      </w:pPr>
      <w:r>
        <w:rPr>
          <w:rFonts w:ascii="楷体_GB2312" w:hAnsi="宋体" w:eastAsia="楷体_GB2312" w:cs="宋体"/>
          <w:spacing w:val="1"/>
          <w:szCs w:val="21"/>
        </w:rPr>
        <w:t>备注</w:t>
      </w:r>
      <w:r>
        <w:rPr>
          <w:rFonts w:ascii="楷体_GB2312" w:hAnsi="宋体" w:eastAsia="楷体_GB2312" w:cs="宋体"/>
          <w:szCs w:val="21"/>
        </w:rPr>
        <w:t>：</w:t>
      </w:r>
      <w:r>
        <w:rPr>
          <w:rFonts w:ascii="楷体_GB2312" w:hAnsi="宋体" w:eastAsia="楷体_GB2312" w:cs="宋体"/>
          <w:spacing w:val="10"/>
          <w:szCs w:val="21"/>
        </w:rPr>
        <w:t>以下《</w:t>
      </w:r>
      <w:r>
        <w:rPr>
          <w:rFonts w:hint="eastAsia" w:ascii="楷体_GB2312" w:hAnsi="宋体" w:eastAsia="楷体_GB2312" w:cs="宋体"/>
          <w:spacing w:val="10"/>
          <w:szCs w:val="21"/>
        </w:rPr>
        <w:t>货物采购需求</w:t>
      </w:r>
      <w:r>
        <w:rPr>
          <w:rFonts w:ascii="楷体_GB2312" w:hAnsi="宋体" w:eastAsia="楷体_GB2312" w:cs="宋体"/>
          <w:spacing w:val="10"/>
          <w:szCs w:val="21"/>
        </w:rPr>
        <w:t>》及《</w:t>
      </w:r>
      <w:r>
        <w:rPr>
          <w:rFonts w:hint="eastAsia" w:ascii="楷体_GB2312" w:hAnsi="宋体" w:eastAsia="楷体_GB2312" w:cs="宋体"/>
          <w:spacing w:val="10"/>
          <w:szCs w:val="21"/>
        </w:rPr>
        <w:t>其他要求</w:t>
      </w:r>
      <w:r>
        <w:rPr>
          <w:rFonts w:ascii="楷体_GB2312" w:hAnsi="宋体" w:eastAsia="楷体_GB2312" w:cs="宋体"/>
          <w:spacing w:val="10"/>
          <w:szCs w:val="21"/>
        </w:rPr>
        <w:t>》所列内容为招标人所提采购需求，投标人应</w:t>
      </w:r>
      <w:r>
        <w:rPr>
          <w:rFonts w:ascii="楷体_GB2312" w:hAnsi="宋体" w:eastAsia="楷体_GB2312" w:cs="宋体"/>
          <w:spacing w:val="18"/>
          <w:szCs w:val="21"/>
        </w:rPr>
        <w:t>认</w:t>
      </w:r>
      <w:r>
        <w:rPr>
          <w:rFonts w:ascii="楷体_GB2312" w:hAnsi="宋体" w:eastAsia="楷体_GB2312" w:cs="宋体"/>
          <w:spacing w:val="9"/>
          <w:szCs w:val="21"/>
        </w:rPr>
        <w:t>真仔细研究，投标时应慎重选择相应的产品及技术参数、规格型号等进行投标。</w:t>
      </w:r>
    </w:p>
    <w:p w14:paraId="79630EFC">
      <w:pPr>
        <w:pStyle w:val="16"/>
        <w:ind w:firstLine="321"/>
        <w:rPr>
          <w:b/>
          <w:sz w:val="32"/>
          <w:szCs w:val="24"/>
        </w:rPr>
      </w:pPr>
      <w:bookmarkStart w:id="0" w:name="OLE_LINK7"/>
      <w:r>
        <w:rPr>
          <w:rFonts w:hint="eastAsia"/>
          <w:b/>
          <w:sz w:val="32"/>
          <w:szCs w:val="24"/>
        </w:rPr>
        <w:t>一、货物采购需求</w:t>
      </w:r>
    </w:p>
    <w:bookmarkEnd w:id="0"/>
    <w:tbl>
      <w:tblPr>
        <w:tblStyle w:val="18"/>
        <w:tblW w:w="9081" w:type="dxa"/>
        <w:tblInd w:w="-405" w:type="dxa"/>
        <w:tblLayout w:type="fixed"/>
        <w:tblCellMar>
          <w:top w:w="15" w:type="dxa"/>
          <w:left w:w="15" w:type="dxa"/>
          <w:bottom w:w="15" w:type="dxa"/>
          <w:right w:w="15" w:type="dxa"/>
        </w:tblCellMar>
      </w:tblPr>
      <w:tblGrid>
        <w:gridCol w:w="742"/>
        <w:gridCol w:w="2017"/>
        <w:gridCol w:w="6322"/>
      </w:tblGrid>
      <w:tr w14:paraId="7BB77DB9">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9FBB">
            <w:pPr>
              <w:widowControl/>
              <w:spacing w:line="500" w:lineRule="exact"/>
              <w:ind w:firstLine="0" w:firstLineChars="0"/>
              <w:jc w:val="center"/>
              <w:textAlignment w:val="center"/>
              <w:rPr>
                <w:rFonts w:ascii="Times New Roman" w:hAnsi="Times New Roman" w:eastAsia="仿宋_GB2312"/>
                <w:b/>
                <w:color w:val="000000"/>
                <w:sz w:val="22"/>
                <w:szCs w:val="22"/>
              </w:rPr>
            </w:pPr>
            <w:r>
              <w:rPr>
                <w:rFonts w:ascii="Times New Roman" w:hAnsi="Times New Roman" w:eastAsia="仿宋_GB2312"/>
                <w:b/>
                <w:color w:val="000000"/>
                <w:kern w:val="0"/>
                <w:sz w:val="22"/>
                <w:szCs w:val="22"/>
                <w:lang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462">
            <w:pPr>
              <w:widowControl/>
              <w:spacing w:line="500" w:lineRule="exact"/>
              <w:ind w:firstLine="0" w:firstLineChars="0"/>
              <w:jc w:val="center"/>
              <w:textAlignment w:val="center"/>
              <w:rPr>
                <w:rFonts w:ascii="Times New Roman" w:hAnsi="Times New Roman" w:eastAsia="仿宋_GB2312"/>
                <w:b/>
                <w:color w:val="000000"/>
                <w:sz w:val="22"/>
                <w:szCs w:val="22"/>
              </w:rPr>
            </w:pPr>
            <w:r>
              <w:rPr>
                <w:rFonts w:ascii="Times New Roman" w:hAnsi="Times New Roman" w:eastAsia="仿宋_GB2312"/>
                <w:b/>
                <w:color w:val="000000"/>
                <w:kern w:val="0"/>
                <w:sz w:val="22"/>
                <w:szCs w:val="22"/>
                <w:lang w:bidi="ar"/>
              </w:rPr>
              <w:t>项目</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C6F">
            <w:pPr>
              <w:widowControl/>
              <w:spacing w:line="500" w:lineRule="exact"/>
              <w:ind w:firstLine="0" w:firstLineChars="0"/>
              <w:jc w:val="center"/>
              <w:textAlignment w:val="center"/>
              <w:rPr>
                <w:rFonts w:ascii="Times New Roman" w:hAnsi="Times New Roman" w:eastAsia="仿宋_GB2312"/>
                <w:b/>
                <w:color w:val="000000"/>
                <w:sz w:val="22"/>
                <w:szCs w:val="22"/>
              </w:rPr>
            </w:pPr>
            <w:r>
              <w:rPr>
                <w:rFonts w:ascii="Times New Roman" w:hAnsi="Times New Roman" w:eastAsia="仿宋_GB2312"/>
                <w:b/>
                <w:color w:val="000000"/>
                <w:kern w:val="0"/>
                <w:sz w:val="22"/>
                <w:szCs w:val="22"/>
                <w:lang w:bidi="ar"/>
              </w:rPr>
              <w:t>技术参数</w:t>
            </w:r>
          </w:p>
        </w:tc>
      </w:tr>
      <w:tr w14:paraId="5548FF49">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E1C0">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4F61">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交流输入电</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FA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三相380V（±15％）AC</w:t>
            </w:r>
          </w:p>
        </w:tc>
      </w:tr>
      <w:tr w14:paraId="4E0DC265">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80E8">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3A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交流输入频率</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F0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50Hz±1Hz</w:t>
            </w:r>
          </w:p>
        </w:tc>
      </w:tr>
      <w:tr w14:paraId="24AAFA32">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51D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6B6">
            <w:pPr>
              <w:widowControl/>
              <w:spacing w:line="500" w:lineRule="exact"/>
              <w:ind w:firstLine="0" w:firstLineChars="0"/>
              <w:jc w:val="center"/>
              <w:textAlignment w:val="center"/>
              <w:rPr>
                <w:rFonts w:ascii="Times New Roman" w:hAnsi="Times New Roman" w:eastAsia="仿宋_GB2312"/>
                <w:color w:val="000000"/>
                <w:sz w:val="22"/>
                <w:szCs w:val="22"/>
              </w:rPr>
            </w:pPr>
            <w:r>
              <w:rPr>
                <w:rFonts w:hint="eastAsia" w:ascii="Times New Roman" w:hAnsi="Times New Roman" w:eastAsia="仿宋_GB2312"/>
                <w:color w:val="000000"/>
                <w:kern w:val="0"/>
                <w:sz w:val="22"/>
                <w:szCs w:val="22"/>
                <w:lang w:bidi="ar"/>
              </w:rPr>
              <w:t>输出功率</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7F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360kW</w:t>
            </w:r>
          </w:p>
        </w:tc>
      </w:tr>
      <w:tr w14:paraId="324F0ECB">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2DC1">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FF39">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单枪最大输出电流</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4F9">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≥250A</w:t>
            </w:r>
          </w:p>
        </w:tc>
      </w:tr>
      <w:tr w14:paraId="4D47E667">
        <w:tblPrEx>
          <w:tblCellMar>
            <w:top w:w="15" w:type="dxa"/>
            <w:left w:w="15" w:type="dxa"/>
            <w:bottom w:w="15" w:type="dxa"/>
            <w:right w:w="15" w:type="dxa"/>
          </w:tblCellMar>
        </w:tblPrEx>
        <w:trPr>
          <w:trHeight w:val="10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627">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716A">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充电模块（电源模块）</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70E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≥40kW（提供满足设备的第三方检测机构出具的带有CNAS和CMA标识的型式试验报告原件复印件作为佐证材料）</w:t>
            </w:r>
          </w:p>
        </w:tc>
      </w:tr>
      <w:tr w14:paraId="413C55FD">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296F">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6</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040A">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结构形式</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D7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一体式双枪</w:t>
            </w:r>
            <w:r>
              <w:rPr>
                <w:rFonts w:hint="eastAsia" w:ascii="Times New Roman" w:hAnsi="Times New Roman" w:eastAsia="仿宋_GB2312"/>
                <w:color w:val="000000"/>
                <w:kern w:val="0"/>
                <w:sz w:val="22"/>
                <w:szCs w:val="22"/>
                <w:lang w:bidi="ar"/>
              </w:rPr>
              <w:t>，</w:t>
            </w:r>
            <w:r>
              <w:rPr>
                <w:rFonts w:hint="eastAsia" w:ascii="Times New Roman" w:hAnsi="Times New Roman" w:eastAsia="仿宋_GB2312"/>
                <w:b/>
                <w:color w:val="000000"/>
                <w:kern w:val="0"/>
                <w:sz w:val="22"/>
                <w:szCs w:val="22"/>
                <w:u w:val="single"/>
                <w:lang w:bidi="ar"/>
              </w:rPr>
              <w:t>需满足双枪同充一车</w:t>
            </w:r>
          </w:p>
        </w:tc>
      </w:tr>
      <w:tr w14:paraId="367643B4">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EE8">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11C">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IP防护等级</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0DF">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≥IP55</w:t>
            </w:r>
          </w:p>
        </w:tc>
      </w:tr>
      <w:tr w14:paraId="3ECD93DC">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71D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8</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836">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输出电压范围</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79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DC50V～DC1000V</w:t>
            </w:r>
          </w:p>
        </w:tc>
      </w:tr>
      <w:tr w14:paraId="5B171EF7">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69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9</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B1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恒功率输出电压范围</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075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DC300V～DC1000V</w:t>
            </w:r>
          </w:p>
        </w:tc>
      </w:tr>
      <w:tr w14:paraId="057E98C0">
        <w:tblPrEx>
          <w:tblCellMar>
            <w:top w:w="15" w:type="dxa"/>
            <w:left w:w="15" w:type="dxa"/>
            <w:bottom w:w="15" w:type="dxa"/>
            <w:right w:w="15" w:type="dxa"/>
          </w:tblCellMar>
        </w:tblPrEx>
        <w:trPr>
          <w:trHeight w:val="7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05E">
            <w:pPr>
              <w:widowControl/>
              <w:spacing w:line="500" w:lineRule="exact"/>
              <w:ind w:firstLine="0" w:firstLineChars="0"/>
              <w:jc w:val="center"/>
              <w:textAlignment w:val="center"/>
              <w:rPr>
                <w:rFonts w:ascii="Times New Roman" w:hAnsi="Times New Roman" w:eastAsia="仿宋_GB2312"/>
                <w:color w:val="000000" w:themeColor="text1"/>
                <w:sz w:val="22"/>
                <w:szCs w:val="22"/>
                <w14:textFill>
                  <w14:solidFill>
                    <w14:schemeClr w14:val="tx1"/>
                  </w14:solidFill>
                </w14:textFill>
              </w:rPr>
            </w:pPr>
            <w:r>
              <w:rPr>
                <w:rFonts w:ascii="Times New Roman" w:hAnsi="Times New Roman" w:eastAsia="仿宋_GB2312"/>
                <w:color w:val="000000" w:themeColor="text1"/>
                <w:kern w:val="0"/>
                <w:sz w:val="22"/>
                <w:szCs w:val="22"/>
                <w:lang w:bidi="ar"/>
                <w14:textFill>
                  <w14:solidFill>
                    <w14:schemeClr w14:val="tx1"/>
                  </w14:solidFill>
                </w14:textFill>
              </w:rPr>
              <w:t>10</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89E">
            <w:pPr>
              <w:widowControl/>
              <w:spacing w:line="500" w:lineRule="exact"/>
              <w:ind w:firstLine="0" w:firstLineChars="0"/>
              <w:jc w:val="center"/>
              <w:textAlignment w:val="center"/>
              <w:rPr>
                <w:rFonts w:ascii="Times New Roman" w:hAnsi="Times New Roman" w:eastAsia="仿宋_GB2312"/>
                <w:color w:val="000000" w:themeColor="text1"/>
                <w:sz w:val="22"/>
                <w:szCs w:val="22"/>
                <w14:textFill>
                  <w14:solidFill>
                    <w14:schemeClr w14:val="tx1"/>
                  </w14:solidFill>
                </w14:textFill>
              </w:rPr>
            </w:pPr>
            <w:r>
              <w:rPr>
                <w:rFonts w:ascii="Times New Roman" w:hAnsi="Times New Roman" w:eastAsia="仿宋_GB2312"/>
                <w:color w:val="000000" w:themeColor="text1"/>
                <w:kern w:val="0"/>
                <w:sz w:val="22"/>
                <w:szCs w:val="22"/>
                <w:lang w:bidi="ar"/>
                <w14:textFill>
                  <w14:solidFill>
                    <w14:schemeClr w14:val="tx1"/>
                  </w14:solidFill>
                </w14:textFill>
              </w:rPr>
              <w:t>功率因数</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FFB">
            <w:pPr>
              <w:widowControl/>
              <w:spacing w:line="500" w:lineRule="exact"/>
              <w:ind w:firstLine="0" w:firstLineChars="0"/>
              <w:jc w:val="center"/>
              <w:textAlignment w:val="center"/>
              <w:rPr>
                <w:rFonts w:ascii="Times New Roman" w:hAnsi="Times New Roman" w:eastAsia="仿宋_GB2312"/>
                <w:color w:val="000000" w:themeColor="text1"/>
                <w:sz w:val="22"/>
                <w:szCs w:val="22"/>
                <w14:textFill>
                  <w14:solidFill>
                    <w14:schemeClr w14:val="tx1"/>
                  </w14:solidFill>
                </w14:textFill>
              </w:rPr>
            </w:pPr>
            <w:r>
              <w:rPr>
                <w:rFonts w:ascii="Times New Roman" w:hAnsi="Times New Roman" w:eastAsia="仿宋_GB2312"/>
                <w:color w:val="000000" w:themeColor="text1"/>
                <w:kern w:val="0"/>
                <w:sz w:val="22"/>
                <w:szCs w:val="22"/>
                <w:lang w:bidi="ar"/>
                <w14:textFill>
                  <w14:solidFill>
                    <w14:schemeClr w14:val="tx1"/>
                  </w14:solidFill>
                </w14:textFill>
              </w:rPr>
              <w:t>输出功率20%≤P≤50%时，功率因数≥0.95，输出功率50%＜P≤100%时，功率因数≥0.98</w:t>
            </w:r>
          </w:p>
        </w:tc>
      </w:tr>
      <w:tr w14:paraId="34C217ED">
        <w:tblPrEx>
          <w:tblCellMar>
            <w:top w:w="15" w:type="dxa"/>
            <w:left w:w="15" w:type="dxa"/>
            <w:bottom w:w="15" w:type="dxa"/>
            <w:right w:w="15" w:type="dxa"/>
          </w:tblCellMar>
        </w:tblPrEx>
        <w:trPr>
          <w:trHeight w:val="7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9C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11</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DDE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综合效率</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C42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输出功率20%≤P≤50%时，工作效率≥88%；输出功率50%＜P≤100%时，工作效率≥93%</w:t>
            </w:r>
          </w:p>
        </w:tc>
      </w:tr>
      <w:tr w14:paraId="4ECEA1EA">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1AE6">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12</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16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稳压精度</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A5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≤±0.5%</w:t>
            </w:r>
          </w:p>
        </w:tc>
      </w:tr>
      <w:tr w14:paraId="1E512E1C">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9850">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13</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CE99">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稳流精度</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CBB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w:t>
            </w:r>
          </w:p>
        </w:tc>
      </w:tr>
      <w:tr w14:paraId="2E4FAAF4">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09EC">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14</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61C">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操作方式</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A70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手机APP、本地触屏操作、刷卡、VIN码</w:t>
            </w:r>
          </w:p>
        </w:tc>
      </w:tr>
      <w:tr w14:paraId="1072D743">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06C1">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15</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221">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绝缘电阻</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1C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≥10MΩ</w:t>
            </w:r>
          </w:p>
        </w:tc>
      </w:tr>
      <w:tr w14:paraId="1FEE3EFC">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D9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16</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74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整机待机功耗</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63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＜40W</w:t>
            </w:r>
          </w:p>
        </w:tc>
      </w:tr>
      <w:tr w14:paraId="0630D7A6">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D56C">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17</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B16">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输出电流设定误差</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73F0">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电流≥30A时，≤±1.0%；电流＜30A时，≤±0.3A。</w:t>
            </w:r>
          </w:p>
        </w:tc>
      </w:tr>
      <w:tr w14:paraId="7C6C5418">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493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18</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919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输出电压设定误差</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B70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≤±0.5%</w:t>
            </w:r>
          </w:p>
        </w:tc>
      </w:tr>
      <w:tr w14:paraId="66F35CD6">
        <w:tblPrEx>
          <w:tblCellMar>
            <w:top w:w="15" w:type="dxa"/>
            <w:left w:w="15" w:type="dxa"/>
            <w:bottom w:w="15" w:type="dxa"/>
            <w:right w:w="15" w:type="dxa"/>
          </w:tblCellMar>
        </w:tblPrEx>
        <w:trPr>
          <w:trHeight w:val="10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1A7">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19</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B0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通讯功能</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B4D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支持4G/以太网通讯，可从后台监控充电信号强度，在显示屏上显示信号强度及状态提醒。（</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r w14:paraId="06E6C7D7">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2F6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20</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9E9">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安装方式</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5F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落地式安装</w:t>
            </w:r>
          </w:p>
        </w:tc>
      </w:tr>
      <w:tr w14:paraId="7DA9D00C">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A760">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21</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516">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使用环境温度</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5FD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-25</w:t>
            </w: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~50</w:t>
            </w:r>
            <w:r>
              <w:rPr>
                <w:rFonts w:ascii="宋体" w:hAnsi="宋体" w:eastAsia="宋体" w:cs="宋体"/>
                <w:color w:val="000000"/>
                <w:kern w:val="0"/>
                <w:sz w:val="22"/>
                <w:szCs w:val="22"/>
                <w:lang w:bidi="ar"/>
              </w:rPr>
              <w:t>℃</w:t>
            </w:r>
          </w:p>
        </w:tc>
      </w:tr>
      <w:tr w14:paraId="0FFAFE80">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24BF">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22</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93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湿度</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1407">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5%~95%</w:t>
            </w:r>
          </w:p>
        </w:tc>
      </w:tr>
      <w:tr w14:paraId="67D715A8">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EEC">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23</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93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噪声</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E0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≤65dB</w:t>
            </w:r>
          </w:p>
        </w:tc>
      </w:tr>
      <w:tr w14:paraId="3DC203A5">
        <w:tblPrEx>
          <w:tblCellMar>
            <w:top w:w="15" w:type="dxa"/>
            <w:left w:w="15" w:type="dxa"/>
            <w:bottom w:w="15" w:type="dxa"/>
            <w:right w:w="15" w:type="dxa"/>
          </w:tblCellMar>
        </w:tblPrEx>
        <w:trPr>
          <w:trHeight w:val="7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D4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24</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4D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安全保护</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C1A">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计量、过热保护、瞬时过温保护、紧急切断保护、开门保护、漏电保护、防雷保护</w:t>
            </w:r>
          </w:p>
        </w:tc>
      </w:tr>
      <w:tr w14:paraId="70FA3661">
        <w:tblPrEx>
          <w:tblCellMar>
            <w:top w:w="15" w:type="dxa"/>
            <w:left w:w="15" w:type="dxa"/>
            <w:bottom w:w="15" w:type="dxa"/>
            <w:right w:w="15"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E40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25</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FE8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充电线缆长度</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92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≥7m</w:t>
            </w:r>
          </w:p>
        </w:tc>
      </w:tr>
      <w:tr w14:paraId="416B0A69">
        <w:tblPrEx>
          <w:tblCellMar>
            <w:top w:w="15" w:type="dxa"/>
            <w:left w:w="15" w:type="dxa"/>
            <w:bottom w:w="15" w:type="dxa"/>
            <w:right w:w="15" w:type="dxa"/>
          </w:tblCellMar>
        </w:tblPrEx>
        <w:trPr>
          <w:trHeight w:val="10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F27">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26</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20F4">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充电电缆和车辆插头</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3A31">
            <w:pPr>
              <w:widowControl/>
              <w:spacing w:line="500" w:lineRule="exact"/>
              <w:ind w:firstLine="0" w:firstLineChars="0"/>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采用轻量化设计，每米重量不超过2.5kg，柔软度不超过10N.m；（</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r w14:paraId="6D44474B">
        <w:tblPrEx>
          <w:tblCellMar>
            <w:top w:w="15" w:type="dxa"/>
            <w:left w:w="15" w:type="dxa"/>
            <w:bottom w:w="15" w:type="dxa"/>
            <w:right w:w="15" w:type="dxa"/>
          </w:tblCellMar>
        </w:tblPrEx>
        <w:trPr>
          <w:trHeight w:val="159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F4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27</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B9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智能运维</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25E5">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支持充电模块、显示屏、控制板软件远程OTA升级，可远程设置相关参数，包括IP地址、充电桩二维码、密码修改，手动充电参数配置、VIN码充电设置，支持远程监控故障信息，进行设备软件维护等；（</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r w14:paraId="37BFC508">
        <w:tblPrEx>
          <w:tblCellMar>
            <w:top w:w="15" w:type="dxa"/>
            <w:left w:w="15" w:type="dxa"/>
            <w:bottom w:w="15" w:type="dxa"/>
            <w:right w:w="15" w:type="dxa"/>
          </w:tblCellMar>
        </w:tblPrEx>
        <w:trPr>
          <w:trHeight w:val="10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E9D">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28</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F6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充电枪连接方式</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B97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采用灌胶工艺且充电枪连接方式同时采用压接方式和超声波焊接方式；（</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r w14:paraId="5C317F08">
        <w:tblPrEx>
          <w:tblCellMar>
            <w:top w:w="15" w:type="dxa"/>
            <w:left w:w="15" w:type="dxa"/>
            <w:bottom w:w="15" w:type="dxa"/>
            <w:right w:w="15" w:type="dxa"/>
          </w:tblCellMar>
        </w:tblPrEx>
        <w:trPr>
          <w:trHeight w:val="159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2D87">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29</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0F0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显示方式（人机交互单元）</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B13">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采用高亮彩色触摸电容屏，触控灵敏且可空闲时间自动息屏，插枪</w:t>
            </w:r>
            <w:r>
              <w:rPr>
                <w:rFonts w:hint="eastAsia" w:ascii="Times New Roman" w:hAnsi="Times New Roman" w:eastAsia="仿宋_GB2312"/>
                <w:color w:val="000000"/>
                <w:kern w:val="0"/>
                <w:sz w:val="22"/>
                <w:szCs w:val="22"/>
                <w:lang w:bidi="ar"/>
              </w:rPr>
              <w:t>后</w:t>
            </w:r>
            <w:r>
              <w:rPr>
                <w:rFonts w:ascii="Times New Roman" w:hAnsi="Times New Roman" w:eastAsia="仿宋_GB2312"/>
                <w:color w:val="000000"/>
                <w:kern w:val="0"/>
                <w:sz w:val="22"/>
                <w:szCs w:val="22"/>
                <w:lang w:bidi="ar"/>
              </w:rPr>
              <w:t>自动唤醒显示屏；（</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r w14:paraId="6BDB696F">
        <w:tblPrEx>
          <w:tblCellMar>
            <w:top w:w="15" w:type="dxa"/>
            <w:left w:w="15" w:type="dxa"/>
            <w:bottom w:w="15" w:type="dxa"/>
            <w:right w:w="15" w:type="dxa"/>
          </w:tblCellMar>
        </w:tblPrEx>
        <w:trPr>
          <w:trHeight w:val="100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950B">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30</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87E">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宋体" w:hAnsi="宋体" w:eastAsia="宋体" w:cs="宋体"/>
                <w:color w:val="000000"/>
                <w:kern w:val="0"/>
                <w:sz w:val="22"/>
                <w:szCs w:val="22"/>
                <w:lang w:bidi="ar"/>
              </w:rPr>
              <w:t>★</w:t>
            </w:r>
            <w:r>
              <w:rPr>
                <w:rFonts w:ascii="Times New Roman" w:hAnsi="Times New Roman" w:eastAsia="仿宋_GB2312"/>
                <w:color w:val="000000"/>
                <w:kern w:val="0"/>
                <w:sz w:val="22"/>
                <w:szCs w:val="22"/>
                <w:lang w:bidi="ar"/>
              </w:rPr>
              <w:t>充电枪锁止方式</w:t>
            </w:r>
          </w:p>
        </w:tc>
        <w:tc>
          <w:tcPr>
            <w:tcW w:w="6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3832">
            <w:pPr>
              <w:widowControl/>
              <w:spacing w:line="500" w:lineRule="exact"/>
              <w:ind w:firstLine="0" w:firstLineChars="0"/>
              <w:jc w:val="center"/>
              <w:textAlignment w:val="center"/>
              <w:rPr>
                <w:rFonts w:ascii="Times New Roman" w:hAnsi="Times New Roman" w:eastAsia="仿宋_GB2312"/>
                <w:color w:val="000000"/>
                <w:sz w:val="22"/>
                <w:szCs w:val="22"/>
              </w:rPr>
            </w:pPr>
            <w:r>
              <w:rPr>
                <w:rFonts w:ascii="Times New Roman" w:hAnsi="Times New Roman" w:eastAsia="仿宋_GB2312"/>
                <w:color w:val="000000"/>
                <w:kern w:val="0"/>
                <w:sz w:val="22"/>
                <w:szCs w:val="22"/>
                <w:lang w:bidi="ar"/>
              </w:rPr>
              <w:t>锁止装置为电磁式锁止方式和应急解锁机械方式；（</w:t>
            </w:r>
            <w:r>
              <w:rPr>
                <w:rFonts w:hint="eastAsia" w:ascii="Times New Roman" w:hAnsi="Times New Roman" w:eastAsia="仿宋_GB2312"/>
                <w:color w:val="000000"/>
                <w:kern w:val="0"/>
                <w:sz w:val="22"/>
                <w:szCs w:val="22"/>
                <w:lang w:bidi="ar"/>
              </w:rPr>
              <w:t>需要提供满足要求的承诺文件</w:t>
            </w:r>
            <w:r>
              <w:rPr>
                <w:rFonts w:ascii="Times New Roman" w:hAnsi="Times New Roman" w:eastAsia="仿宋_GB2312"/>
                <w:color w:val="000000"/>
                <w:kern w:val="0"/>
                <w:sz w:val="22"/>
                <w:szCs w:val="22"/>
                <w:lang w:bidi="ar"/>
              </w:rPr>
              <w:t>）</w:t>
            </w:r>
          </w:p>
        </w:tc>
      </w:tr>
    </w:tbl>
    <w:p w14:paraId="6B8A73B4">
      <w:pPr>
        <w:spacing w:line="500" w:lineRule="exact"/>
        <w:ind w:firstLine="482"/>
        <w:rPr>
          <w:b/>
          <w:bCs/>
          <w:sz w:val="24"/>
        </w:rPr>
      </w:pPr>
      <w:bookmarkStart w:id="1" w:name="OLE_LINK13"/>
      <w:bookmarkStart w:id="2" w:name="OLE_LINK12"/>
      <w:r>
        <w:rPr>
          <w:rFonts w:hint="eastAsia"/>
          <w:b/>
          <w:bCs/>
          <w:sz w:val="24"/>
        </w:rPr>
        <w:t>功能描述</w:t>
      </w:r>
    </w:p>
    <w:p w14:paraId="00E714D6">
      <w:pPr>
        <w:spacing w:line="500" w:lineRule="exact"/>
        <w:ind w:firstLine="560"/>
        <w:rPr>
          <w:sz w:val="28"/>
        </w:rPr>
      </w:pPr>
      <w:r>
        <w:rPr>
          <w:sz w:val="28"/>
        </w:rPr>
        <w:t>1</w:t>
      </w:r>
      <w:r>
        <w:rPr>
          <w:rFonts w:hint="eastAsia"/>
          <w:sz w:val="28"/>
        </w:rPr>
        <w:t>）负责</w:t>
      </w:r>
      <w:bookmarkStart w:id="3" w:name="OLE_LINK27"/>
      <w:bookmarkStart w:id="4" w:name="OLE_LINK28"/>
      <w:r>
        <w:rPr>
          <w:rFonts w:hint="eastAsia"/>
          <w:sz w:val="28"/>
        </w:rPr>
        <w:t>人机交互、车桩交互，配合充电主机完成充电系统功能；</w:t>
      </w:r>
    </w:p>
    <w:p w14:paraId="6C079AA8">
      <w:pPr>
        <w:spacing w:line="500" w:lineRule="exact"/>
        <w:ind w:firstLine="560"/>
        <w:rPr>
          <w:sz w:val="28"/>
        </w:rPr>
      </w:pPr>
      <w:r>
        <w:rPr>
          <w:sz w:val="28"/>
        </w:rPr>
        <w:t>2</w:t>
      </w:r>
      <w:r>
        <w:rPr>
          <w:rFonts w:hint="eastAsia"/>
          <w:sz w:val="28"/>
        </w:rPr>
        <w:t>）标配</w:t>
      </w:r>
      <w:r>
        <w:rPr>
          <w:sz w:val="28"/>
        </w:rPr>
        <w:t>12V</w:t>
      </w:r>
      <w:r>
        <w:rPr>
          <w:rFonts w:hint="eastAsia"/>
          <w:sz w:val="28"/>
        </w:rPr>
        <w:t>、</w:t>
      </w:r>
      <w:r>
        <w:rPr>
          <w:sz w:val="28"/>
        </w:rPr>
        <w:t>24V</w:t>
      </w:r>
      <w:r>
        <w:rPr>
          <w:rFonts w:hint="eastAsia"/>
          <w:sz w:val="28"/>
        </w:rPr>
        <w:t>辅助电源模块，可根据车辆类型调节辅助电源电压等级；可为新能源公交车、乘用车、矿用卡车等多种类型和多种电池材料的车辆充电；</w:t>
      </w:r>
    </w:p>
    <w:p w14:paraId="4BE1C203">
      <w:pPr>
        <w:spacing w:line="500" w:lineRule="exact"/>
        <w:ind w:firstLine="560"/>
        <w:rPr>
          <w:sz w:val="28"/>
        </w:rPr>
      </w:pPr>
      <w:r>
        <w:rPr>
          <w:sz w:val="28"/>
        </w:rPr>
        <w:t>3</w:t>
      </w:r>
      <w:r>
        <w:rPr>
          <w:rFonts w:hint="eastAsia"/>
          <w:sz w:val="28"/>
        </w:rPr>
        <w:t>）设备配置大尺寸彩色触摸屏。实时显示车辆信息及充电信息，如充电电压、充电电流、充电时间、充电电量、充电金额和车辆电量等。并且实时显示故障与报警信息；</w:t>
      </w:r>
    </w:p>
    <w:p w14:paraId="3C7FA8B5">
      <w:pPr>
        <w:spacing w:line="500" w:lineRule="exact"/>
        <w:ind w:firstLine="562"/>
        <w:rPr>
          <w:sz w:val="28"/>
        </w:rPr>
      </w:pPr>
      <w:r>
        <w:rPr>
          <w:b/>
          <w:bCs/>
          <w:sz w:val="28"/>
        </w:rPr>
        <w:t>4</w:t>
      </w:r>
      <w:r>
        <w:rPr>
          <w:rFonts w:hint="eastAsia"/>
          <w:b/>
          <w:bCs/>
          <w:sz w:val="28"/>
        </w:rPr>
        <w:t>）左右各出一枪，满足不同应用场景</w:t>
      </w:r>
      <w:r>
        <w:rPr>
          <w:rFonts w:hint="eastAsia"/>
          <w:sz w:val="28"/>
        </w:rPr>
        <w:t>，</w:t>
      </w:r>
      <w:r>
        <w:rPr>
          <w:rFonts w:hint="eastAsia"/>
          <w:b/>
          <w:sz w:val="28"/>
        </w:rPr>
        <w:t>需满足双枪同充一车</w:t>
      </w:r>
      <w:r>
        <w:rPr>
          <w:rFonts w:hint="eastAsia"/>
          <w:b/>
          <w:bCs/>
          <w:sz w:val="28"/>
        </w:rPr>
        <w:t>；</w:t>
      </w:r>
    </w:p>
    <w:p w14:paraId="106756F0">
      <w:pPr>
        <w:spacing w:line="500" w:lineRule="exact"/>
        <w:ind w:firstLine="562"/>
        <w:rPr>
          <w:sz w:val="28"/>
        </w:rPr>
      </w:pPr>
      <w:r>
        <w:rPr>
          <w:b/>
          <w:bCs/>
          <w:sz w:val="28"/>
        </w:rPr>
        <w:t>5</w:t>
      </w:r>
      <w:r>
        <w:rPr>
          <w:rFonts w:hint="eastAsia"/>
          <w:b/>
          <w:bCs/>
          <w:sz w:val="28"/>
        </w:rPr>
        <w:t>）完善的过压、过流、短路保护，充电系统主动防护及充电网大数据防护两层防护体系保证充电过程安全可靠。</w:t>
      </w:r>
    </w:p>
    <w:p w14:paraId="32121E43">
      <w:pPr>
        <w:ind w:firstLine="560"/>
        <w:rPr>
          <w:b/>
        </w:rPr>
      </w:pPr>
      <w:r>
        <w:rPr>
          <w:sz w:val="28"/>
        </w:rPr>
        <w:t>6</w:t>
      </w:r>
      <w:r>
        <w:rPr>
          <w:rFonts w:hint="eastAsia"/>
          <w:sz w:val="28"/>
        </w:rPr>
        <w:t>）设备具备更高的耐候性能，在</w:t>
      </w:r>
      <w:r>
        <w:rPr>
          <w:sz w:val="28"/>
        </w:rPr>
        <w:t>-25</w:t>
      </w:r>
      <w:r>
        <w:rPr>
          <w:rFonts w:hint="eastAsia"/>
          <w:sz w:val="28"/>
        </w:rPr>
        <w:t>℃</w:t>
      </w:r>
      <w:r>
        <w:rPr>
          <w:sz w:val="28"/>
        </w:rPr>
        <w:t>~+50</w:t>
      </w:r>
      <w:r>
        <w:rPr>
          <w:rFonts w:hint="eastAsia"/>
          <w:sz w:val="28"/>
        </w:rPr>
        <w:t>℃高温高寒天气下充电系统可正常运行。</w:t>
      </w:r>
      <w:r>
        <w:rPr>
          <w:sz w:val="28"/>
        </w:rPr>
        <w:cr/>
      </w:r>
      <w:r>
        <w:rPr>
          <w:rFonts w:hint="eastAsia"/>
          <w:b/>
        </w:rPr>
        <w:t>二、其他要求</w:t>
      </w:r>
    </w:p>
    <w:p w14:paraId="0BAC0D40">
      <w:pPr>
        <w:spacing w:line="500" w:lineRule="exact"/>
        <w:ind w:firstLine="560"/>
        <w:rPr>
          <w:sz w:val="28"/>
        </w:rPr>
      </w:pPr>
      <w:r>
        <w:rPr>
          <w:sz w:val="28"/>
        </w:rPr>
        <w:t>1</w:t>
      </w:r>
      <w:r>
        <w:rPr>
          <w:rFonts w:hint="eastAsia"/>
          <w:sz w:val="28"/>
        </w:rPr>
        <w:t>、提供招标人所需上述设备，包括所需设备的供货、安装、调试及伴随技术服务。具体包含（但不限于）生产制造、装配、测试和检验、出厂验收、包装、供货、运输、保险、仓储、二次吊运、安装、调试、验收、人员培训和质量保证期内的保修及维修保养等，同时对全过程的安全、质量、环保、文明施工等承担相应责任。</w:t>
      </w:r>
    </w:p>
    <w:p w14:paraId="6B194F98">
      <w:pPr>
        <w:spacing w:line="500" w:lineRule="exact"/>
        <w:ind w:firstLine="560"/>
        <w:rPr>
          <w:sz w:val="28"/>
        </w:rPr>
      </w:pPr>
      <w:r>
        <w:rPr>
          <w:sz w:val="28"/>
        </w:rPr>
        <w:t>2</w:t>
      </w:r>
      <w:r>
        <w:rPr>
          <w:rFonts w:hint="eastAsia"/>
          <w:sz w:val="28"/>
        </w:rPr>
        <w:t>、以上所列产品技术规格参数要求为本次采购配置的基本要求，投标人所投产品及配置不得低于文件所提要求。</w:t>
      </w:r>
    </w:p>
    <w:p w14:paraId="245C165E">
      <w:pPr>
        <w:spacing w:line="500" w:lineRule="exact"/>
        <w:ind w:firstLine="560"/>
        <w:rPr>
          <w:sz w:val="28"/>
        </w:rPr>
      </w:pPr>
      <w:r>
        <w:rPr>
          <w:sz w:val="28"/>
        </w:rPr>
        <w:t>3</w:t>
      </w:r>
      <w:r>
        <w:rPr>
          <w:rFonts w:hint="eastAsia"/>
          <w:sz w:val="28"/>
        </w:rPr>
        <w:t>、投标人需提供设备技术资料移交、操作培训、保养培训、后期跟踪服务等；</w:t>
      </w:r>
    </w:p>
    <w:p w14:paraId="732CDCAA">
      <w:pPr>
        <w:spacing w:line="500" w:lineRule="exact"/>
        <w:ind w:firstLine="560"/>
        <w:rPr>
          <w:sz w:val="28"/>
        </w:rPr>
      </w:pPr>
      <w:r>
        <w:rPr>
          <w:sz w:val="28"/>
        </w:rPr>
        <w:t>4</w:t>
      </w:r>
      <w:r>
        <w:rPr>
          <w:rFonts w:hint="eastAsia"/>
          <w:sz w:val="28"/>
        </w:rPr>
        <w:t>、质量保证：供应商提供的产品必须是符合国家相关标准的合格产品，资料配件齐全。供货时，供应商须向采购人提供设备的出厂检验报告、合格证书等证明设备和服务合格有效的证明资料，否则采购人将不予验收。采购人有权委托中国有资质的单位对货物进行验收核对和准确度、精密度校准。如验收不合格，中标人应承担所有责任和经济损失。</w:t>
      </w:r>
    </w:p>
    <w:p w14:paraId="4F2F88DC">
      <w:pPr>
        <w:spacing w:line="500" w:lineRule="exact"/>
        <w:ind w:firstLine="560"/>
        <w:rPr>
          <w:sz w:val="28"/>
        </w:rPr>
      </w:pPr>
      <w:r>
        <w:rPr>
          <w:sz w:val="28"/>
        </w:rPr>
        <w:t>5</w:t>
      </w:r>
      <w:r>
        <w:rPr>
          <w:rFonts w:hint="eastAsia"/>
          <w:sz w:val="28"/>
        </w:rPr>
        <w:t>、供应商在制作投标文件时，需在投标文件中提供所投产品型号的宣传彩页或产品说明书。</w:t>
      </w:r>
    </w:p>
    <w:p w14:paraId="2CFC19F5">
      <w:pPr>
        <w:spacing w:line="500" w:lineRule="exact"/>
        <w:ind w:firstLine="560"/>
        <w:rPr>
          <w:sz w:val="28"/>
        </w:rPr>
      </w:pPr>
      <w:r>
        <w:rPr>
          <w:sz w:val="28"/>
        </w:rPr>
        <w:t>6</w:t>
      </w:r>
      <w:r>
        <w:rPr>
          <w:rFonts w:hint="eastAsia"/>
          <w:sz w:val="28"/>
        </w:rPr>
        <w:t>、质保期：质保期至少为</w:t>
      </w:r>
      <w:r>
        <w:rPr>
          <w:sz w:val="28"/>
        </w:rPr>
        <w:t>36</w:t>
      </w:r>
      <w:r>
        <w:rPr>
          <w:rFonts w:hint="eastAsia"/>
          <w:sz w:val="28"/>
        </w:rPr>
        <w:t>个月，质保期自工程竣工验收之日起计算。</w:t>
      </w:r>
    </w:p>
    <w:p w14:paraId="1C69AFEE">
      <w:pPr>
        <w:spacing w:line="500" w:lineRule="exact"/>
        <w:ind w:firstLine="560"/>
        <w:rPr>
          <w:sz w:val="28"/>
        </w:rPr>
      </w:pPr>
      <w:r>
        <w:rPr>
          <w:rFonts w:hint="eastAsia"/>
          <w:sz w:val="28"/>
        </w:rPr>
        <w:t>供应商需要在湖北省全省建立有完善的服务网络，提供全年</w:t>
      </w:r>
      <w:r>
        <w:rPr>
          <w:sz w:val="28"/>
        </w:rPr>
        <w:t>365</w:t>
      </w:r>
      <w:r>
        <w:rPr>
          <w:rFonts w:hint="eastAsia"/>
          <w:sz w:val="28"/>
        </w:rPr>
        <w:t>天无休服务；在质保期内，产品因质量问题出现故障和损失由中标人负责。</w:t>
      </w:r>
    </w:p>
    <w:p w14:paraId="5416159D">
      <w:pPr>
        <w:spacing w:line="500" w:lineRule="exact"/>
        <w:ind w:firstLine="560"/>
        <w:rPr>
          <w:sz w:val="28"/>
        </w:rPr>
      </w:pPr>
      <w:r>
        <w:rPr>
          <w:sz w:val="28"/>
        </w:rPr>
        <w:t>7</w:t>
      </w:r>
      <w:r>
        <w:rPr>
          <w:rFonts w:hint="eastAsia"/>
          <w:sz w:val="28"/>
        </w:rPr>
        <w:t>、响应时间：设备在使用过程中如出现故障，在接到信息反馈后，</w:t>
      </w:r>
      <w:r>
        <w:rPr>
          <w:sz w:val="28"/>
        </w:rPr>
        <w:t>2</w:t>
      </w:r>
      <w:r>
        <w:rPr>
          <w:rFonts w:hint="eastAsia"/>
          <w:sz w:val="28"/>
        </w:rPr>
        <w:t>小时内电话通知用户处理意见，需技术服务人员到现场服务在</w:t>
      </w:r>
      <w:r>
        <w:rPr>
          <w:sz w:val="28"/>
        </w:rPr>
        <w:t>8</w:t>
      </w:r>
      <w:r>
        <w:rPr>
          <w:rFonts w:hint="eastAsia"/>
          <w:sz w:val="28"/>
        </w:rPr>
        <w:t>小时内到达，</w:t>
      </w:r>
      <w:r>
        <w:rPr>
          <w:sz w:val="28"/>
        </w:rPr>
        <w:t>24</w:t>
      </w:r>
      <w:r>
        <w:rPr>
          <w:rFonts w:hint="eastAsia"/>
          <w:sz w:val="28"/>
        </w:rPr>
        <w:t>小时内排除故障。</w:t>
      </w:r>
    </w:p>
    <w:p w14:paraId="3ABC4B53">
      <w:pPr>
        <w:spacing w:line="500" w:lineRule="exact"/>
        <w:ind w:firstLine="560"/>
        <w:rPr>
          <w:sz w:val="24"/>
          <w:szCs w:val="21"/>
        </w:rPr>
      </w:pPr>
      <w:r>
        <w:rPr>
          <w:sz w:val="28"/>
        </w:rPr>
        <w:t>8</w:t>
      </w:r>
      <w:r>
        <w:rPr>
          <w:rFonts w:hint="eastAsia"/>
          <w:sz w:val="28"/>
        </w:rPr>
        <w:t>、服务要求：提供的产品质保期满后，中标单位对设备提供终生维修和免费技术支持并以最优惠零利润价格提供零部</w:t>
      </w:r>
      <w:bookmarkEnd w:id="3"/>
      <w:bookmarkEnd w:id="4"/>
      <w:r>
        <w:rPr>
          <w:rFonts w:hint="eastAsia"/>
          <w:sz w:val="28"/>
        </w:rPr>
        <w:t>件。如果发生设备故障或损坏，中标单位将派服务人员到达设备现场，并进行维修。</w:t>
      </w:r>
    </w:p>
    <w:bookmarkEnd w:id="1"/>
    <w:bookmarkEnd w:id="2"/>
    <w:p w14:paraId="336ECFAD">
      <w:pPr>
        <w:pStyle w:val="16"/>
        <w:ind w:firstLine="320"/>
        <w:rPr>
          <w:sz w:val="32"/>
          <w:szCs w:val="24"/>
        </w:rPr>
      </w:pPr>
    </w:p>
    <w:p w14:paraId="648DE37C">
      <w:pPr>
        <w:pStyle w:val="16"/>
        <w:ind w:firstLine="320"/>
        <w:rPr>
          <w:sz w:val="32"/>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74350F32">
      <w:pPr>
        <w:ind w:firstLine="0" w:firstLineChars="0"/>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2010600010101010101"/>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0EA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33009FC">
                          <w:pPr>
                            <w:pStyle w:val="1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633009FC">
                    <w:pPr>
                      <w:pStyle w:val="13"/>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2667">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BA8"/>
    <w:rsid w:val="00014B87"/>
    <w:rsid w:val="00037F1E"/>
    <w:rsid w:val="000677C7"/>
    <w:rsid w:val="000806FA"/>
    <w:rsid w:val="000A2CBC"/>
    <w:rsid w:val="000B7929"/>
    <w:rsid w:val="000C2C19"/>
    <w:rsid w:val="000D5622"/>
    <w:rsid w:val="000E24E5"/>
    <w:rsid w:val="001102F0"/>
    <w:rsid w:val="0011199B"/>
    <w:rsid w:val="0012308F"/>
    <w:rsid w:val="00124144"/>
    <w:rsid w:val="00134365"/>
    <w:rsid w:val="00171905"/>
    <w:rsid w:val="00172A27"/>
    <w:rsid w:val="00173EFE"/>
    <w:rsid w:val="0017639B"/>
    <w:rsid w:val="00177F60"/>
    <w:rsid w:val="001B1B97"/>
    <w:rsid w:val="00244DDE"/>
    <w:rsid w:val="00252A6D"/>
    <w:rsid w:val="00273FA4"/>
    <w:rsid w:val="00283B98"/>
    <w:rsid w:val="00293D5B"/>
    <w:rsid w:val="002A7957"/>
    <w:rsid w:val="002B5B39"/>
    <w:rsid w:val="002D01B2"/>
    <w:rsid w:val="00307AB4"/>
    <w:rsid w:val="0033279F"/>
    <w:rsid w:val="00334774"/>
    <w:rsid w:val="00336090"/>
    <w:rsid w:val="00353899"/>
    <w:rsid w:val="0037594C"/>
    <w:rsid w:val="003C3842"/>
    <w:rsid w:val="003F4D5B"/>
    <w:rsid w:val="00414F8D"/>
    <w:rsid w:val="00417CF7"/>
    <w:rsid w:val="004528BF"/>
    <w:rsid w:val="004550EB"/>
    <w:rsid w:val="00472D18"/>
    <w:rsid w:val="004C16DD"/>
    <w:rsid w:val="004F12BD"/>
    <w:rsid w:val="00544393"/>
    <w:rsid w:val="00561780"/>
    <w:rsid w:val="0056377B"/>
    <w:rsid w:val="0059095E"/>
    <w:rsid w:val="005916E5"/>
    <w:rsid w:val="005A5B4E"/>
    <w:rsid w:val="005E67BD"/>
    <w:rsid w:val="005E6F93"/>
    <w:rsid w:val="005F0D84"/>
    <w:rsid w:val="005F1F7C"/>
    <w:rsid w:val="005F700E"/>
    <w:rsid w:val="005F7AAD"/>
    <w:rsid w:val="006073AA"/>
    <w:rsid w:val="00621946"/>
    <w:rsid w:val="006310FE"/>
    <w:rsid w:val="00645A47"/>
    <w:rsid w:val="006566EA"/>
    <w:rsid w:val="0067096B"/>
    <w:rsid w:val="00670F7E"/>
    <w:rsid w:val="00672386"/>
    <w:rsid w:val="0067759A"/>
    <w:rsid w:val="00692C55"/>
    <w:rsid w:val="0070783F"/>
    <w:rsid w:val="00727BC0"/>
    <w:rsid w:val="00766268"/>
    <w:rsid w:val="007677F3"/>
    <w:rsid w:val="007731D6"/>
    <w:rsid w:val="007C010F"/>
    <w:rsid w:val="00841C07"/>
    <w:rsid w:val="008547D0"/>
    <w:rsid w:val="00867BA0"/>
    <w:rsid w:val="00882093"/>
    <w:rsid w:val="008927EA"/>
    <w:rsid w:val="008E2923"/>
    <w:rsid w:val="008E34F9"/>
    <w:rsid w:val="00901558"/>
    <w:rsid w:val="00923BCE"/>
    <w:rsid w:val="0095695C"/>
    <w:rsid w:val="00973F32"/>
    <w:rsid w:val="009807DC"/>
    <w:rsid w:val="00981D32"/>
    <w:rsid w:val="009924A2"/>
    <w:rsid w:val="009A54E3"/>
    <w:rsid w:val="009D2C6E"/>
    <w:rsid w:val="009D3629"/>
    <w:rsid w:val="009F5249"/>
    <w:rsid w:val="009F5BF2"/>
    <w:rsid w:val="00A16F9F"/>
    <w:rsid w:val="00A3467A"/>
    <w:rsid w:val="00A66B2B"/>
    <w:rsid w:val="00A74AC5"/>
    <w:rsid w:val="00A778F6"/>
    <w:rsid w:val="00A92256"/>
    <w:rsid w:val="00AC327F"/>
    <w:rsid w:val="00AE176C"/>
    <w:rsid w:val="00B235CB"/>
    <w:rsid w:val="00B25CAB"/>
    <w:rsid w:val="00B37361"/>
    <w:rsid w:val="00B37456"/>
    <w:rsid w:val="00B56782"/>
    <w:rsid w:val="00B9741A"/>
    <w:rsid w:val="00BB334B"/>
    <w:rsid w:val="00BB70F5"/>
    <w:rsid w:val="00BD7229"/>
    <w:rsid w:val="00BF1C63"/>
    <w:rsid w:val="00C0598E"/>
    <w:rsid w:val="00C30D10"/>
    <w:rsid w:val="00C45B85"/>
    <w:rsid w:val="00C60F27"/>
    <w:rsid w:val="00C72EF3"/>
    <w:rsid w:val="00CE0912"/>
    <w:rsid w:val="00CF12F9"/>
    <w:rsid w:val="00CF6C18"/>
    <w:rsid w:val="00D00B39"/>
    <w:rsid w:val="00D30BC4"/>
    <w:rsid w:val="00D746B3"/>
    <w:rsid w:val="00D806C2"/>
    <w:rsid w:val="00D95885"/>
    <w:rsid w:val="00DB1C14"/>
    <w:rsid w:val="00DE0532"/>
    <w:rsid w:val="00E4264E"/>
    <w:rsid w:val="00E51613"/>
    <w:rsid w:val="00E90CDE"/>
    <w:rsid w:val="00EB6D83"/>
    <w:rsid w:val="00F44816"/>
    <w:rsid w:val="00F52414"/>
    <w:rsid w:val="00F75477"/>
    <w:rsid w:val="00FA70BC"/>
    <w:rsid w:val="00FB6D7E"/>
    <w:rsid w:val="00FD7570"/>
    <w:rsid w:val="00FE3344"/>
    <w:rsid w:val="0137703F"/>
    <w:rsid w:val="01CA6FC4"/>
    <w:rsid w:val="023F5184"/>
    <w:rsid w:val="02490865"/>
    <w:rsid w:val="05444896"/>
    <w:rsid w:val="06D8597D"/>
    <w:rsid w:val="07020ED4"/>
    <w:rsid w:val="08C67DB5"/>
    <w:rsid w:val="08E579ED"/>
    <w:rsid w:val="0ABB5B32"/>
    <w:rsid w:val="0C5F4E1E"/>
    <w:rsid w:val="0D803E67"/>
    <w:rsid w:val="0E4E1A6A"/>
    <w:rsid w:val="0E4F7BF4"/>
    <w:rsid w:val="0F353A1A"/>
    <w:rsid w:val="1208500C"/>
    <w:rsid w:val="12681715"/>
    <w:rsid w:val="128173C5"/>
    <w:rsid w:val="1399257F"/>
    <w:rsid w:val="13AE025C"/>
    <w:rsid w:val="159506AA"/>
    <w:rsid w:val="17D46D02"/>
    <w:rsid w:val="18A03D41"/>
    <w:rsid w:val="19361BAF"/>
    <w:rsid w:val="19594D84"/>
    <w:rsid w:val="198C7217"/>
    <w:rsid w:val="1A5C35C2"/>
    <w:rsid w:val="1CBB0CAE"/>
    <w:rsid w:val="1F122EF7"/>
    <w:rsid w:val="1F9306FE"/>
    <w:rsid w:val="1FC13468"/>
    <w:rsid w:val="20C75D4B"/>
    <w:rsid w:val="21280363"/>
    <w:rsid w:val="21611D1C"/>
    <w:rsid w:val="22286AF3"/>
    <w:rsid w:val="242057A9"/>
    <w:rsid w:val="265A7339"/>
    <w:rsid w:val="27577736"/>
    <w:rsid w:val="275B2426"/>
    <w:rsid w:val="285831B2"/>
    <w:rsid w:val="2A3264A9"/>
    <w:rsid w:val="2B766067"/>
    <w:rsid w:val="2C3E1A72"/>
    <w:rsid w:val="2C645D8D"/>
    <w:rsid w:val="2EB4366E"/>
    <w:rsid w:val="2FEA01E9"/>
    <w:rsid w:val="2FEC7C3A"/>
    <w:rsid w:val="329B7B20"/>
    <w:rsid w:val="33440D6D"/>
    <w:rsid w:val="34D86A5F"/>
    <w:rsid w:val="34E533D4"/>
    <w:rsid w:val="34FE472D"/>
    <w:rsid w:val="35574416"/>
    <w:rsid w:val="360F20D6"/>
    <w:rsid w:val="36135BB1"/>
    <w:rsid w:val="374D74BF"/>
    <w:rsid w:val="38611E50"/>
    <w:rsid w:val="38A225D0"/>
    <w:rsid w:val="392F3BA2"/>
    <w:rsid w:val="393B6E71"/>
    <w:rsid w:val="39606947"/>
    <w:rsid w:val="39DB5497"/>
    <w:rsid w:val="3A624C75"/>
    <w:rsid w:val="3B154BB1"/>
    <w:rsid w:val="3BAD74F8"/>
    <w:rsid w:val="3CCE7D0E"/>
    <w:rsid w:val="406E27D1"/>
    <w:rsid w:val="406F3C61"/>
    <w:rsid w:val="40C23EB2"/>
    <w:rsid w:val="40E71B37"/>
    <w:rsid w:val="40F97CA8"/>
    <w:rsid w:val="425C1E19"/>
    <w:rsid w:val="439D3E70"/>
    <w:rsid w:val="43BC0B23"/>
    <w:rsid w:val="44507E26"/>
    <w:rsid w:val="45D469B4"/>
    <w:rsid w:val="461270B9"/>
    <w:rsid w:val="46572996"/>
    <w:rsid w:val="467B49B9"/>
    <w:rsid w:val="477473F1"/>
    <w:rsid w:val="48420F8B"/>
    <w:rsid w:val="4B2C42DE"/>
    <w:rsid w:val="4B8C33AD"/>
    <w:rsid w:val="4BB55143"/>
    <w:rsid w:val="4BCE2BCB"/>
    <w:rsid w:val="4D297114"/>
    <w:rsid w:val="50417D88"/>
    <w:rsid w:val="506F5CE1"/>
    <w:rsid w:val="527929E9"/>
    <w:rsid w:val="53473429"/>
    <w:rsid w:val="53B603D5"/>
    <w:rsid w:val="540E6587"/>
    <w:rsid w:val="54C4151E"/>
    <w:rsid w:val="54E50366"/>
    <w:rsid w:val="557A5E63"/>
    <w:rsid w:val="57F62C06"/>
    <w:rsid w:val="588D4677"/>
    <w:rsid w:val="596500A8"/>
    <w:rsid w:val="5B3F570A"/>
    <w:rsid w:val="5BED6BC4"/>
    <w:rsid w:val="5C7F651B"/>
    <w:rsid w:val="5C8D12D3"/>
    <w:rsid w:val="5CAF63AA"/>
    <w:rsid w:val="5CF12E02"/>
    <w:rsid w:val="601161B9"/>
    <w:rsid w:val="612229C7"/>
    <w:rsid w:val="650C50F9"/>
    <w:rsid w:val="65D225D6"/>
    <w:rsid w:val="67FC44A4"/>
    <w:rsid w:val="692D7D59"/>
    <w:rsid w:val="695F628D"/>
    <w:rsid w:val="69C72314"/>
    <w:rsid w:val="69E20164"/>
    <w:rsid w:val="6A1271A7"/>
    <w:rsid w:val="6AA13003"/>
    <w:rsid w:val="6D0503F0"/>
    <w:rsid w:val="6D905244"/>
    <w:rsid w:val="6E8F0DAA"/>
    <w:rsid w:val="6EE57C3B"/>
    <w:rsid w:val="6F1C0E40"/>
    <w:rsid w:val="703F4F52"/>
    <w:rsid w:val="716F2336"/>
    <w:rsid w:val="71BB1844"/>
    <w:rsid w:val="737E1181"/>
    <w:rsid w:val="74B70E22"/>
    <w:rsid w:val="75FB2539"/>
    <w:rsid w:val="77166883"/>
    <w:rsid w:val="77F549C4"/>
    <w:rsid w:val="789F2BF8"/>
    <w:rsid w:val="79547289"/>
    <w:rsid w:val="7A825509"/>
    <w:rsid w:val="7B174C7C"/>
    <w:rsid w:val="7B7656C9"/>
    <w:rsid w:val="7C075F99"/>
    <w:rsid w:val="7C61005E"/>
    <w:rsid w:val="7D2057C6"/>
    <w:rsid w:val="7D3B4DF5"/>
    <w:rsid w:val="7FB3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cs="仿宋_GB2312"/>
      <w:kern w:val="44"/>
      <w:szCs w:val="32"/>
    </w:rPr>
  </w:style>
  <w:style w:type="paragraph" w:styleId="4">
    <w:name w:val="heading 2"/>
    <w:basedOn w:val="1"/>
    <w:next w:val="5"/>
    <w:link w:val="23"/>
    <w:semiHidden/>
    <w:unhideWhenUsed/>
    <w:qFormat/>
    <w:uiPriority w:val="0"/>
    <w:pPr>
      <w:keepNext/>
      <w:keepLines/>
      <w:outlineLvl w:val="1"/>
    </w:pPr>
    <w:rPr>
      <w:rFonts w:ascii="Calibri Light" w:hAnsi="Calibri Light" w:eastAsia="楷体"/>
      <w:b/>
      <w:bCs/>
      <w:szCs w:val="32"/>
    </w:rPr>
  </w:style>
  <w:style w:type="paragraph" w:styleId="6">
    <w:name w:val="heading 3"/>
    <w:basedOn w:val="1"/>
    <w:next w:val="1"/>
    <w:link w:val="21"/>
    <w:semiHidden/>
    <w:unhideWhenUsed/>
    <w:qFormat/>
    <w:uiPriority w:val="0"/>
    <w:pPr>
      <w:keepNext/>
      <w:keepLines/>
      <w:spacing w:before="140" w:after="140" w:line="240" w:lineRule="auto"/>
      <w:ind w:firstLine="1041"/>
      <w:outlineLvl w:val="2"/>
    </w:pPr>
    <w:rPr>
      <w:rFonts w:asciiTheme="minorHAnsi" w:hAnsiTheme="minorHAnsi" w:eastAsiaTheme="minorEastAsia" w:cstheme="minorBidi"/>
      <w:b/>
      <w:szCs w:val="22"/>
    </w:rPr>
  </w:style>
  <w:style w:type="paragraph" w:styleId="7">
    <w:name w:val="heading 4"/>
    <w:basedOn w:val="1"/>
    <w:next w:val="1"/>
    <w:link w:val="22"/>
    <w:semiHidden/>
    <w:unhideWhenUsed/>
    <w:qFormat/>
    <w:uiPriority w:val="0"/>
    <w:pPr>
      <w:keepNext/>
      <w:keepLines/>
      <w:spacing w:before="60" w:after="60" w:line="240" w:lineRule="auto"/>
      <w:ind w:firstLine="1041"/>
      <w:outlineLvl w:val="3"/>
    </w:pPr>
    <w:rPr>
      <w:rFonts w:ascii="Arial" w:hAnsi="Arial" w:eastAsia="黑体" w:cstheme="minorBidi"/>
      <w:b/>
      <w:sz w:val="28"/>
      <w:szCs w:val="22"/>
    </w:rPr>
  </w:style>
  <w:style w:type="paragraph" w:styleId="8">
    <w:name w:val="heading 5"/>
    <w:basedOn w:val="1"/>
    <w:next w:val="1"/>
    <w:semiHidden/>
    <w:unhideWhenUsed/>
    <w:qFormat/>
    <w:uiPriority w:val="0"/>
    <w:pPr>
      <w:keepNext/>
      <w:keepLines/>
      <w:spacing w:line="240" w:lineRule="auto"/>
      <w:ind w:firstLine="1041"/>
      <w:outlineLvl w:val="4"/>
    </w:pPr>
    <w:rPr>
      <w:rFonts w:asciiTheme="minorHAnsi" w:hAnsiTheme="minorHAnsi" w:eastAsiaTheme="minorEastAsia" w:cstheme="minorBidi"/>
      <w:b/>
      <w:sz w:val="28"/>
      <w:szCs w:val="2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s>
      <w:outlineLvl w:val="0"/>
    </w:pPr>
    <w:rPr>
      <w:rFonts w:eastAsia="仿宋_GB2312"/>
      <w:b/>
      <w:sz w:val="24"/>
      <w:szCs w:val="20"/>
    </w:rPr>
  </w:style>
  <w:style w:type="paragraph" w:styleId="5">
    <w:name w:val="Normal Indent"/>
    <w:basedOn w:val="1"/>
    <w:qFormat/>
    <w:uiPriority w:val="0"/>
    <w:pPr>
      <w:spacing w:line="360" w:lineRule="auto"/>
    </w:pPr>
    <w:rPr>
      <w:sz w:val="24"/>
    </w:rPr>
  </w:style>
  <w:style w:type="paragraph" w:styleId="9">
    <w:name w:val="table of authorities"/>
    <w:basedOn w:val="1"/>
    <w:next w:val="1"/>
    <w:unhideWhenUsed/>
    <w:qFormat/>
    <w:uiPriority w:val="99"/>
    <w:pPr>
      <w:ind w:left="420" w:leftChars="200"/>
    </w:pPr>
    <w:rPr>
      <w:szCs w:val="20"/>
    </w:rPr>
  </w:style>
  <w:style w:type="paragraph" w:styleId="10">
    <w:name w:val="annotation text"/>
    <w:basedOn w:val="1"/>
    <w:qFormat/>
    <w:uiPriority w:val="0"/>
    <w:pPr>
      <w:jc w:val="left"/>
    </w:pPr>
  </w:style>
  <w:style w:type="paragraph" w:styleId="11">
    <w:name w:val="Body Text"/>
    <w:basedOn w:val="1"/>
    <w:next w:val="1"/>
    <w:qFormat/>
    <w:uiPriority w:val="1"/>
    <w:rPr>
      <w:sz w:val="21"/>
      <w:szCs w:val="21"/>
    </w:rPr>
  </w:style>
  <w:style w:type="paragraph" w:styleId="12">
    <w:name w:val="Balloon Text"/>
    <w:basedOn w:val="1"/>
    <w:link w:val="26"/>
    <w:qFormat/>
    <w:uiPriority w:val="0"/>
    <w:pPr>
      <w:spacing w:line="240" w:lineRule="auto"/>
    </w:pPr>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Body Text First Indent"/>
    <w:basedOn w:val="11"/>
    <w:unhideWhenUsed/>
    <w:qFormat/>
    <w:uiPriority w:val="99"/>
    <w:pPr>
      <w:ind w:firstLine="420" w:firstLineChars="100"/>
    </w:pPr>
  </w:style>
  <w:style w:type="paragraph" w:styleId="17">
    <w:name w:val="Body Text First Indent 2"/>
    <w:basedOn w:val="1"/>
    <w:next w:val="1"/>
    <w:qFormat/>
    <w:uiPriority w:val="0"/>
    <w:pPr>
      <w:ind w:firstLine="420"/>
    </w:pPr>
  </w:style>
  <w:style w:type="paragraph" w:customStyle="1" w:styleId="20">
    <w:name w:val="Default"/>
    <w:unhideWhenUsed/>
    <w:qFormat/>
    <w:uiPriority w:val="0"/>
    <w:pPr>
      <w:widowControl w:val="0"/>
      <w:autoSpaceDE w:val="0"/>
      <w:autoSpaceDN w:val="0"/>
      <w:adjustRightInd w:val="0"/>
      <w:spacing w:after="200" w:line="276" w:lineRule="auto"/>
    </w:pPr>
    <w:rPr>
      <w:rFonts w:hint="eastAsia" w:ascii="Arial" w:hAnsi="Arial" w:eastAsia="宋体" w:cs="Times New Roman"/>
      <w:color w:val="000000"/>
      <w:sz w:val="24"/>
      <w:szCs w:val="22"/>
      <w:lang w:val="en-US" w:eastAsia="zh-CN" w:bidi="ar-SA"/>
    </w:rPr>
  </w:style>
  <w:style w:type="character" w:customStyle="1" w:styleId="21">
    <w:name w:val="标题 3 Char"/>
    <w:link w:val="6"/>
    <w:qFormat/>
    <w:uiPriority w:val="9"/>
    <w:rPr>
      <w:rFonts w:asciiTheme="minorHAnsi" w:hAnsiTheme="minorHAnsi" w:eastAsiaTheme="minorEastAsia" w:cstheme="minorBidi"/>
      <w:b/>
      <w:sz w:val="32"/>
      <w:szCs w:val="22"/>
    </w:rPr>
  </w:style>
  <w:style w:type="character" w:customStyle="1" w:styleId="22">
    <w:name w:val="标题 4 Char"/>
    <w:link w:val="7"/>
    <w:qFormat/>
    <w:uiPriority w:val="9"/>
    <w:rPr>
      <w:rFonts w:ascii="Arial" w:hAnsi="Arial" w:eastAsia="黑体" w:cstheme="minorBidi"/>
      <w:b/>
      <w:sz w:val="28"/>
      <w:szCs w:val="22"/>
    </w:rPr>
  </w:style>
  <w:style w:type="character" w:customStyle="1" w:styleId="23">
    <w:name w:val="标题 2 Char"/>
    <w:basedOn w:val="19"/>
    <w:link w:val="4"/>
    <w:qFormat/>
    <w:uiPriority w:val="9"/>
    <w:rPr>
      <w:rFonts w:eastAsia="宋体" w:cs="Times New Roman" w:asciiTheme="majorHAnsi" w:hAnsiTheme="majorHAnsi"/>
      <w:b/>
      <w:bCs/>
      <w:sz w:val="32"/>
      <w:szCs w:val="32"/>
    </w:rPr>
  </w:style>
  <w:style w:type="paragraph" w:styleId="24">
    <w:name w:val="List Paragraph"/>
    <w:basedOn w:val="1"/>
    <w:qFormat/>
    <w:uiPriority w:val="99"/>
    <w:pPr>
      <w:ind w:firstLine="420"/>
    </w:pPr>
  </w:style>
  <w:style w:type="paragraph" w:styleId="25">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26">
    <w:name w:val="批注框文本 Char"/>
    <w:basedOn w:val="19"/>
    <w:link w:val="12"/>
    <w:qFormat/>
    <w:uiPriority w:val="0"/>
    <w:rPr>
      <w:rFonts w:ascii="Calibri" w:hAnsi="Calibri" w:eastAsia="仿宋"/>
      <w:kern w:val="2"/>
      <w:sz w:val="18"/>
      <w:szCs w:val="18"/>
    </w:rPr>
  </w:style>
  <w:style w:type="paragraph" w:customStyle="1" w:styleId="27">
    <w:name w:val="Table Text"/>
    <w:basedOn w:val="1"/>
    <w:qFormat/>
    <w:uiPriority w:val="0"/>
    <w:pPr>
      <w:topLinePunct/>
      <w:adjustRightInd w:val="0"/>
      <w:snapToGrid w:val="0"/>
      <w:spacing w:before="80" w:after="80" w:line="240" w:lineRule="atLeast"/>
      <w:jc w:val="left"/>
    </w:pPr>
    <w:rPr>
      <w:rFonts w:hint="eastAsia" w:ascii="Cambria" w:hAnsi="Cambria" w:cs="新宋体"/>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EC12C-F0E7-4B44-B0A0-10E9B2DC6B15}">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10849</Words>
  <Characters>11418</Characters>
  <Lines>86</Lines>
  <Paragraphs>24</Paragraphs>
  <TotalTime>10</TotalTime>
  <ScaleCrop>false</ScaleCrop>
  <LinksUpToDate>false</LinksUpToDate>
  <CharactersWithSpaces>11721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2025-04-07T09:01:00Z</dcterms:created>
  <dc:creator>要study去了</dc:creator>
  <cp:lastModifiedBy>张鑫</cp:lastModifiedBy>
  <cp:lastPrinted>2025-04-08T03:19:00Z</cp:lastPrinted>
  <dcterms:modified xsi:type="dcterms:W3CDTF">2025-09-30T06:48:03Z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53D10403B51448C8843324482D11873C_13</vt:lpwstr>
  </property>
  <property fmtid="{D5CDD505-2E9C-101B-9397-08002B2CF9AE}" pid="4" name="KSOTemplateDocerSaveRecord">
    <vt:lpwstr>eyJoZGlkIjoiOTA0M2Y2OGU5ZDIzZWZlMzZhYWJjZTY0MmRjNDgzOTEiLCJ1c2VySWQiOiIyMzY4ODIxNDQifQ==</vt:lpwstr>
  </property>
</Properties>
</file>