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rPr>
          <w:sz w:val="32"/>
          <w:szCs w:val="24"/>
        </w:rPr>
      </w:pPr>
      <w:r>
        <w:rPr>
          <w:rFonts w:hint="eastAsia"/>
          <w:sz w:val="32"/>
          <w:szCs w:val="24"/>
        </w:rPr>
        <w:t>附表2：</w:t>
      </w:r>
    </w:p>
    <w:p>
      <w:pPr>
        <w:pStyle w:val="9"/>
        <w:ind w:firstLine="320"/>
        <w:jc w:val="center"/>
        <w:rPr>
          <w:sz w:val="32"/>
          <w:szCs w:val="24"/>
        </w:rPr>
      </w:pPr>
      <w:r>
        <w:rPr>
          <w:rFonts w:hint="eastAsia"/>
          <w:sz w:val="32"/>
          <w:szCs w:val="24"/>
        </w:rPr>
        <w:t>评分表</w:t>
      </w:r>
    </w:p>
    <w:tbl>
      <w:tblPr>
        <w:tblStyle w:val="20"/>
        <w:tblW w:w="9613" w:type="dxa"/>
        <w:tblInd w:w="-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09"/>
        <w:gridCol w:w="737"/>
        <w:gridCol w:w="6177"/>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186" w:type="dxa"/>
            <w:vAlign w:val="center"/>
          </w:tcPr>
          <w:p>
            <w:pPr>
              <w:adjustRightInd w:val="0"/>
              <w:snapToGrid w:val="0"/>
              <w:spacing w:line="300" w:lineRule="exact"/>
              <w:ind w:firstLine="0" w:firstLineChars="0"/>
              <w:jc w:val="center"/>
              <w:rPr>
                <w:rFonts w:ascii="仿宋" w:hAnsi="仿宋"/>
                <w:b/>
                <w:w w:val="90"/>
                <w:sz w:val="24"/>
              </w:rPr>
            </w:pPr>
            <w:bookmarkStart w:id="0" w:name="OLE_LINK10"/>
            <w:bookmarkStart w:id="1" w:name="OLE_LINK11"/>
            <w:r>
              <w:rPr>
                <w:rFonts w:hint="eastAsia" w:ascii="仿宋" w:hAnsi="仿宋"/>
                <w:b/>
                <w:w w:val="90"/>
                <w:sz w:val="24"/>
              </w:rPr>
              <w:t>评审项目</w:t>
            </w:r>
          </w:p>
        </w:tc>
        <w:tc>
          <w:tcPr>
            <w:tcW w:w="1009" w:type="dxa"/>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项目</w:t>
            </w:r>
          </w:p>
        </w:tc>
        <w:tc>
          <w:tcPr>
            <w:tcW w:w="737" w:type="dxa"/>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分数</w:t>
            </w:r>
          </w:p>
        </w:tc>
        <w:tc>
          <w:tcPr>
            <w:tcW w:w="6177" w:type="dxa"/>
            <w:vAlign w:val="center"/>
          </w:tcPr>
          <w:p>
            <w:pPr>
              <w:snapToGrid w:val="0"/>
              <w:spacing w:line="300" w:lineRule="exact"/>
              <w:ind w:firstLine="0" w:firstLineChars="0"/>
              <w:jc w:val="center"/>
              <w:rPr>
                <w:rFonts w:ascii="仿宋" w:hAnsi="仿宋"/>
                <w:b/>
                <w:w w:val="90"/>
                <w:sz w:val="24"/>
              </w:rPr>
            </w:pPr>
            <w:r>
              <w:rPr>
                <w:rFonts w:hint="eastAsia" w:ascii="仿宋" w:hAnsi="仿宋"/>
                <w:b/>
                <w:w w:val="90"/>
                <w:sz w:val="24"/>
              </w:rPr>
              <w:t>评审内容</w:t>
            </w:r>
          </w:p>
        </w:tc>
        <w:tc>
          <w:tcPr>
            <w:tcW w:w="504" w:type="dxa"/>
            <w:vAlign w:val="center"/>
          </w:tcPr>
          <w:p>
            <w:pPr>
              <w:widowControl/>
              <w:spacing w:line="300" w:lineRule="exact"/>
              <w:ind w:firstLine="0" w:firstLineChars="0"/>
              <w:jc w:val="center"/>
              <w:rPr>
                <w:rFonts w:ascii="仿宋" w:hAnsi="仿宋"/>
                <w:b/>
                <w:w w:val="90"/>
                <w:sz w:val="24"/>
              </w:rPr>
            </w:pPr>
            <w:r>
              <w:rPr>
                <w:rFonts w:hint="eastAsia" w:ascii="仿宋" w:hAnsi="仿宋"/>
                <w:b/>
                <w:w w:val="9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3" w:hRule="atLeast"/>
        </w:trPr>
        <w:tc>
          <w:tcPr>
            <w:tcW w:w="1186"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价格部分</w:t>
            </w:r>
          </w:p>
          <w:p>
            <w:pPr>
              <w:spacing w:line="240" w:lineRule="atLeast"/>
              <w:ind w:firstLine="0" w:firstLineChars="0"/>
              <w:jc w:val="center"/>
              <w:rPr>
                <w:rFonts w:ascii="仿宋" w:hAnsi="仿宋" w:cs="仿宋"/>
                <w:w w:val="90"/>
                <w:sz w:val="24"/>
              </w:rPr>
            </w:pPr>
            <w:r>
              <w:rPr>
                <w:rFonts w:hint="eastAsia" w:ascii="仿宋" w:hAnsi="仿宋" w:cs="仿宋"/>
                <w:sz w:val="24"/>
              </w:rPr>
              <w:t>30分</w:t>
            </w:r>
          </w:p>
        </w:tc>
        <w:tc>
          <w:tcPr>
            <w:tcW w:w="1009"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w w:val="90"/>
                <w:sz w:val="24"/>
              </w:rPr>
              <w:t>投标报价</w:t>
            </w:r>
          </w:p>
        </w:tc>
        <w:tc>
          <w:tcPr>
            <w:tcW w:w="737"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w w:val="90"/>
                <w:sz w:val="24"/>
              </w:rPr>
              <w:t>30</w:t>
            </w:r>
            <w:r>
              <w:rPr>
                <w:rFonts w:hint="eastAsia" w:ascii="仿宋" w:hAnsi="仿宋" w:cs="仿宋"/>
                <w:sz w:val="24"/>
              </w:rPr>
              <w:t>分</w:t>
            </w:r>
          </w:p>
        </w:tc>
        <w:tc>
          <w:tcPr>
            <w:tcW w:w="6177" w:type="dxa"/>
            <w:vAlign w:val="center"/>
          </w:tcPr>
          <w:p>
            <w:pPr>
              <w:numPr>
                <w:ilvl w:val="0"/>
                <w:numId w:val="1"/>
              </w:numPr>
              <w:spacing w:line="240" w:lineRule="atLeast"/>
              <w:ind w:firstLine="0" w:firstLineChars="0"/>
              <w:rPr>
                <w:rFonts w:ascii="仿宋" w:hAnsi="仿宋" w:cs="仿宋"/>
                <w:sz w:val="24"/>
              </w:rPr>
            </w:pPr>
            <w:r>
              <w:rPr>
                <w:rFonts w:hint="eastAsia" w:ascii="仿宋" w:hAnsi="仿宋" w:cs="仿宋"/>
                <w:sz w:val="24"/>
              </w:rPr>
              <w:t>基准价计算：</w:t>
            </w:r>
          </w:p>
          <w:p>
            <w:pPr>
              <w:spacing w:line="240" w:lineRule="atLeast"/>
              <w:ind w:firstLine="0" w:firstLineChars="0"/>
              <w:rPr>
                <w:rFonts w:ascii="仿宋" w:hAnsi="仿宋" w:cs="仿宋"/>
                <w:sz w:val="24"/>
              </w:rPr>
            </w:pPr>
            <w:r>
              <w:rPr>
                <w:rFonts w:hint="eastAsia" w:ascii="仿宋" w:hAnsi="仿宋" w:cs="仿宋"/>
                <w:sz w:val="24"/>
              </w:rPr>
              <w:t>基准价为各有效投标报价中去掉最高和最低报价后的算术平均值。若有效投标报价少于五家（不含五家）时，则以所有有效投标报价的算术平均值为基准价。</w:t>
            </w:r>
          </w:p>
          <w:p>
            <w:pPr>
              <w:spacing w:line="240" w:lineRule="atLeast"/>
              <w:ind w:firstLine="0" w:firstLineChars="0"/>
              <w:rPr>
                <w:rFonts w:ascii="仿宋" w:hAnsi="仿宋" w:cs="仿宋"/>
                <w:sz w:val="24"/>
              </w:rPr>
            </w:pPr>
            <w:r>
              <w:rPr>
                <w:rFonts w:hint="eastAsia" w:ascii="仿宋" w:hAnsi="仿宋" w:cs="仿宋"/>
                <w:sz w:val="24"/>
              </w:rPr>
              <w:t>2、投标报价计算：</w:t>
            </w:r>
          </w:p>
          <w:p>
            <w:pPr>
              <w:spacing w:line="240" w:lineRule="atLeast"/>
              <w:ind w:firstLine="240" w:firstLineChars="100"/>
              <w:rPr>
                <w:rFonts w:ascii="仿宋" w:hAnsi="仿宋" w:cs="仿宋"/>
                <w:sz w:val="24"/>
              </w:rPr>
            </w:pPr>
            <w:r>
              <w:rPr>
                <w:rFonts w:hint="eastAsia" w:ascii="仿宋" w:hAnsi="仿宋" w:cs="仿宋"/>
                <w:sz w:val="24"/>
              </w:rPr>
              <w:t>2.1以基准价（Pa）为基准，投标报价每高于基准价（Pa）1%扣1分，低于基准价（Pa）1%扣0.5分。</w:t>
            </w:r>
          </w:p>
          <w:p>
            <w:pPr>
              <w:spacing w:line="240" w:lineRule="atLeast"/>
              <w:ind w:firstLine="240" w:firstLineChars="100"/>
              <w:rPr>
                <w:rFonts w:ascii="仿宋" w:hAnsi="仿宋" w:cs="仿宋"/>
                <w:sz w:val="24"/>
              </w:rPr>
            </w:pPr>
            <w:r>
              <w:rPr>
                <w:rFonts w:hint="eastAsia" w:ascii="仿宋" w:hAnsi="仿宋" w:cs="仿宋"/>
                <w:sz w:val="24"/>
              </w:rPr>
              <w:t>2.2报价得分=30－(│Pa－q│/Pa)×100×Ka</w:t>
            </w:r>
          </w:p>
          <w:p>
            <w:pPr>
              <w:spacing w:line="240" w:lineRule="atLeast"/>
              <w:ind w:firstLine="0" w:firstLineChars="0"/>
              <w:rPr>
                <w:rFonts w:ascii="仿宋" w:hAnsi="仿宋" w:cs="仿宋"/>
                <w:sz w:val="24"/>
              </w:rPr>
            </w:pPr>
            <w:r>
              <w:rPr>
                <w:rFonts w:hint="eastAsia" w:ascii="仿宋" w:hAnsi="仿宋" w:cs="仿宋"/>
                <w:sz w:val="24"/>
              </w:rPr>
              <w:t>其中：</w:t>
            </w:r>
            <w:r>
              <w:rPr>
                <w:rFonts w:hint="eastAsia" w:ascii="仿宋" w:hAnsi="仿宋" w:cs="仿宋"/>
                <w:sz w:val="24"/>
              </w:rPr>
              <w:br w:type="textWrapping"/>
            </w:r>
            <w:r>
              <w:rPr>
                <w:rFonts w:hint="eastAsia" w:ascii="仿宋" w:hAnsi="仿宋" w:cs="仿宋"/>
                <w:sz w:val="24"/>
              </w:rPr>
              <w:t>—Pa为基准价</w:t>
            </w:r>
            <w:r>
              <w:rPr>
                <w:rFonts w:hint="eastAsia" w:ascii="仿宋" w:hAnsi="仿宋" w:cs="仿宋"/>
                <w:sz w:val="24"/>
              </w:rPr>
              <w:br w:type="textWrapping"/>
            </w:r>
            <w:r>
              <w:rPr>
                <w:rFonts w:hint="eastAsia" w:ascii="仿宋" w:hAnsi="仿宋" w:cs="仿宋"/>
                <w:sz w:val="24"/>
              </w:rPr>
              <w:t>—q为投标报价</w:t>
            </w:r>
            <w:r>
              <w:rPr>
                <w:rFonts w:hint="eastAsia" w:ascii="仿宋" w:hAnsi="仿宋" w:cs="仿宋"/>
                <w:sz w:val="24"/>
              </w:rPr>
              <w:br w:type="textWrapping"/>
            </w:r>
            <w:r>
              <w:rPr>
                <w:rFonts w:hint="eastAsia" w:ascii="仿宋" w:hAnsi="仿宋" w:cs="仿宋"/>
                <w:sz w:val="24"/>
              </w:rPr>
              <w:t>—Ka取值为0.5或1计算按四舍五入方式，保留小数点后两位。</w:t>
            </w:r>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1186" w:type="dxa"/>
            <w:vMerge w:val="restart"/>
            <w:vAlign w:val="center"/>
          </w:tcPr>
          <w:p>
            <w:pPr>
              <w:spacing w:line="240" w:lineRule="atLeast"/>
              <w:ind w:firstLine="0" w:firstLineChars="0"/>
              <w:jc w:val="center"/>
              <w:rPr>
                <w:rFonts w:ascii="仿宋" w:hAnsi="仿宋" w:cs="仿宋"/>
                <w:sz w:val="24"/>
              </w:rPr>
            </w:pPr>
            <w:r>
              <w:rPr>
                <w:rFonts w:hint="eastAsia" w:ascii="仿宋" w:hAnsi="仿宋" w:cs="仿宋"/>
                <w:sz w:val="24"/>
              </w:rPr>
              <w:t>商务部分</w:t>
            </w:r>
          </w:p>
          <w:p>
            <w:pPr>
              <w:spacing w:line="240" w:lineRule="atLeast"/>
              <w:ind w:firstLine="0" w:firstLineChars="0"/>
              <w:jc w:val="center"/>
              <w:rPr>
                <w:rFonts w:ascii="仿宋" w:hAnsi="仿宋" w:cs="仿宋"/>
                <w:w w:val="90"/>
                <w:sz w:val="24"/>
              </w:rPr>
            </w:pPr>
            <w:r>
              <w:rPr>
                <w:rFonts w:hint="eastAsia" w:ascii="仿宋" w:hAnsi="仿宋" w:cs="仿宋"/>
                <w:sz w:val="24"/>
              </w:rPr>
              <w:t>40分</w:t>
            </w:r>
          </w:p>
        </w:tc>
        <w:tc>
          <w:tcPr>
            <w:tcW w:w="1009"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color w:val="000000"/>
                <w:kern w:val="0"/>
                <w:sz w:val="24"/>
                <w:lang w:bidi="ar"/>
              </w:rPr>
              <w:t>投标人业绩</w:t>
            </w:r>
          </w:p>
        </w:tc>
        <w:tc>
          <w:tcPr>
            <w:tcW w:w="737"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w w:val="90"/>
                <w:sz w:val="24"/>
              </w:rPr>
              <w:t>6</w:t>
            </w:r>
            <w:r>
              <w:rPr>
                <w:rFonts w:hint="eastAsia" w:ascii="仿宋" w:hAnsi="仿宋" w:cs="仿宋"/>
                <w:sz w:val="24"/>
              </w:rPr>
              <w:t>分</w:t>
            </w:r>
          </w:p>
        </w:tc>
        <w:tc>
          <w:tcPr>
            <w:tcW w:w="6177" w:type="dxa"/>
            <w:vAlign w:val="center"/>
          </w:tcPr>
          <w:p>
            <w:pPr>
              <w:pStyle w:val="11"/>
              <w:spacing w:line="240" w:lineRule="atLeast"/>
              <w:ind w:left="0" w:leftChars="0" w:firstLine="0" w:firstLineChars="0"/>
              <w:rPr>
                <w:rFonts w:ascii="仿宋" w:hAnsi="仿宋" w:cs="仿宋"/>
                <w:sz w:val="24"/>
                <w:szCs w:val="24"/>
              </w:rPr>
            </w:pPr>
            <w:bookmarkStart w:id="2" w:name="OLE_LINK20"/>
            <w:r>
              <w:rPr>
                <w:rFonts w:hint="eastAsia" w:ascii="仿宋" w:hAnsi="仿宋" w:cs="仿宋"/>
                <w:sz w:val="24"/>
                <w:szCs w:val="24"/>
              </w:rPr>
              <w:t>投标人近3年（2022年</w:t>
            </w:r>
            <w:r>
              <w:rPr>
                <w:rFonts w:hint="eastAsia" w:ascii="仿宋" w:hAnsi="仿宋" w:cs="仿宋"/>
                <w:sz w:val="24"/>
                <w:szCs w:val="24"/>
                <w:lang w:val="en-US" w:eastAsia="zh-CN"/>
              </w:rPr>
              <w:t>4</w:t>
            </w:r>
            <w:r>
              <w:rPr>
                <w:rFonts w:hint="eastAsia" w:ascii="仿宋" w:hAnsi="仿宋" w:cs="仿宋"/>
                <w:sz w:val="24"/>
                <w:szCs w:val="24"/>
              </w:rPr>
              <w:t>月起至投标截止日期止）具有类似单项合同金额35万元及以上的充电桩设备供货及安装业绩，供货设备中单体直流充电桩功率不小于360KW。</w:t>
            </w:r>
            <w:r>
              <w:rPr>
                <w:rFonts w:hint="eastAsia" w:ascii="仿宋" w:hAnsi="仿宋" w:cs="仿宋"/>
                <w:sz w:val="24"/>
                <w:szCs w:val="24"/>
                <w:lang w:val="zh-CN"/>
              </w:rPr>
              <w:t>每提供一项业绩得</w:t>
            </w:r>
            <w:r>
              <w:rPr>
                <w:rFonts w:hint="eastAsia" w:ascii="仿宋" w:hAnsi="仿宋" w:cs="仿宋"/>
                <w:sz w:val="24"/>
                <w:szCs w:val="24"/>
              </w:rPr>
              <w:t>2</w:t>
            </w:r>
            <w:r>
              <w:rPr>
                <w:rFonts w:hint="eastAsia" w:ascii="仿宋" w:hAnsi="仿宋" w:cs="仿宋"/>
                <w:sz w:val="24"/>
                <w:szCs w:val="24"/>
                <w:lang w:val="zh-CN"/>
              </w:rPr>
              <w:t>分，本项最高得</w:t>
            </w:r>
            <w:r>
              <w:rPr>
                <w:rFonts w:hint="eastAsia" w:ascii="仿宋" w:hAnsi="仿宋" w:cs="仿宋"/>
                <w:sz w:val="24"/>
                <w:szCs w:val="24"/>
              </w:rPr>
              <w:t>6</w:t>
            </w:r>
            <w:r>
              <w:rPr>
                <w:rFonts w:hint="eastAsia" w:ascii="仿宋" w:hAnsi="仿宋" w:cs="仿宋"/>
                <w:sz w:val="24"/>
                <w:szCs w:val="24"/>
                <w:lang w:val="zh-CN"/>
              </w:rPr>
              <w:t>分</w:t>
            </w:r>
            <w:r>
              <w:rPr>
                <w:rFonts w:hint="eastAsia" w:ascii="宋体" w:hAnsi="宋体" w:eastAsia="宋体" w:cs="宋体"/>
                <w:color w:val="000000"/>
                <w:kern w:val="0"/>
                <w:sz w:val="24"/>
                <w:szCs w:val="24"/>
                <w:lang w:bidi="ar"/>
              </w:rPr>
              <w:t>。</w:t>
            </w:r>
            <w:r>
              <w:rPr>
                <w:rFonts w:hint="eastAsia" w:ascii="仿宋" w:hAnsi="仿宋" w:cs="仿宋"/>
                <w:sz w:val="24"/>
                <w:szCs w:val="24"/>
              </w:rPr>
              <w:t>（资格审查业绩不加分）。须提供中标通知书或合同，业绩以有效证明文件的落款时间为准。</w:t>
            </w:r>
            <w:bookmarkEnd w:id="2"/>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186" w:type="dxa"/>
            <w:vMerge w:val="continue"/>
            <w:vAlign w:val="center"/>
          </w:tcPr>
          <w:p>
            <w:pPr>
              <w:spacing w:line="240" w:lineRule="atLeast"/>
              <w:ind w:firstLine="0" w:firstLineChars="0"/>
              <w:jc w:val="center"/>
              <w:rPr>
                <w:rFonts w:ascii="仿宋" w:hAnsi="仿宋" w:cs="仿宋"/>
                <w:sz w:val="24"/>
              </w:rPr>
            </w:pPr>
          </w:p>
        </w:tc>
        <w:tc>
          <w:tcPr>
            <w:tcW w:w="1009" w:type="dxa"/>
            <w:vAlign w:val="center"/>
          </w:tcPr>
          <w:p>
            <w:pPr>
              <w:snapToGrid w:val="0"/>
              <w:spacing w:line="240" w:lineRule="atLeast"/>
              <w:ind w:firstLine="0" w:firstLineChars="0"/>
              <w:jc w:val="center"/>
              <w:rPr>
                <w:rFonts w:ascii="仿宋" w:hAnsi="仿宋" w:cs="仿宋"/>
                <w:color w:val="000000"/>
                <w:kern w:val="0"/>
                <w:sz w:val="24"/>
                <w:lang w:bidi="ar"/>
              </w:rPr>
            </w:pPr>
            <w:r>
              <w:rPr>
                <w:rFonts w:hint="eastAsia" w:ascii="仿宋" w:hAnsi="仿宋" w:cs="仿宋"/>
                <w:color w:val="000000"/>
                <w:kern w:val="0"/>
                <w:sz w:val="24"/>
                <w:lang w:bidi="ar"/>
              </w:rPr>
              <w:t>企业荣誉</w:t>
            </w:r>
          </w:p>
        </w:tc>
        <w:tc>
          <w:tcPr>
            <w:tcW w:w="737"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w w:val="90"/>
                <w:sz w:val="24"/>
              </w:rPr>
              <w:t>4分</w:t>
            </w:r>
          </w:p>
        </w:tc>
        <w:tc>
          <w:tcPr>
            <w:tcW w:w="6177" w:type="dxa"/>
            <w:vAlign w:val="center"/>
          </w:tcPr>
          <w:p>
            <w:pPr>
              <w:pStyle w:val="11"/>
              <w:numPr>
                <w:ilvl w:val="255"/>
                <w:numId w:val="0"/>
              </w:numPr>
              <w:spacing w:line="240" w:lineRule="atLeast"/>
              <w:rPr>
                <w:rFonts w:ascii="仿宋" w:hAnsi="仿宋" w:cs="仿宋"/>
                <w:sz w:val="24"/>
                <w:szCs w:val="24"/>
              </w:rPr>
            </w:pPr>
            <w:r>
              <w:rPr>
                <w:rFonts w:hint="eastAsia" w:ascii="仿宋" w:hAnsi="仿宋" w:cs="仿宋"/>
                <w:sz w:val="24"/>
                <w:szCs w:val="24"/>
              </w:rPr>
              <w:t>投标人获得省级荣誉得1分，获得国家级荣誉得2分，最高得4分</w:t>
            </w:r>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186" w:type="dxa"/>
            <w:vMerge w:val="continue"/>
            <w:vAlign w:val="center"/>
          </w:tcPr>
          <w:p>
            <w:pPr>
              <w:snapToGrid w:val="0"/>
              <w:spacing w:line="240" w:lineRule="atLeast"/>
              <w:ind w:firstLine="0" w:firstLineChars="0"/>
              <w:jc w:val="center"/>
              <w:rPr>
                <w:rFonts w:ascii="仿宋" w:hAnsi="仿宋" w:cs="仿宋"/>
                <w:w w:val="90"/>
                <w:sz w:val="24"/>
              </w:rPr>
            </w:pPr>
          </w:p>
        </w:tc>
        <w:tc>
          <w:tcPr>
            <w:tcW w:w="1009" w:type="dxa"/>
            <w:vAlign w:val="center"/>
          </w:tcPr>
          <w:p>
            <w:pPr>
              <w:snapToGrid w:val="0"/>
              <w:spacing w:line="240" w:lineRule="atLeast"/>
              <w:ind w:firstLine="0" w:firstLineChars="0"/>
              <w:jc w:val="center"/>
              <w:rPr>
                <w:rFonts w:ascii="仿宋" w:hAnsi="仿宋" w:cs="仿宋"/>
                <w:sz w:val="24"/>
              </w:rPr>
            </w:pPr>
            <w:r>
              <w:rPr>
                <w:rFonts w:hint="eastAsia" w:ascii="仿宋" w:hAnsi="仿宋" w:cs="仿宋"/>
                <w:sz w:val="24"/>
              </w:rPr>
              <w:t>质保服务</w:t>
            </w:r>
          </w:p>
        </w:tc>
        <w:tc>
          <w:tcPr>
            <w:tcW w:w="737"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w w:val="90"/>
                <w:sz w:val="24"/>
              </w:rPr>
              <w:t>6</w:t>
            </w:r>
            <w:r>
              <w:rPr>
                <w:rFonts w:hint="eastAsia" w:ascii="仿宋" w:hAnsi="仿宋" w:cs="仿宋"/>
                <w:sz w:val="24"/>
              </w:rPr>
              <w:t>分</w:t>
            </w:r>
          </w:p>
        </w:tc>
        <w:tc>
          <w:tcPr>
            <w:tcW w:w="6177" w:type="dxa"/>
            <w:vAlign w:val="center"/>
          </w:tcPr>
          <w:p>
            <w:pPr>
              <w:spacing w:line="240" w:lineRule="atLeast"/>
              <w:ind w:firstLine="0" w:firstLineChars="0"/>
              <w:rPr>
                <w:rFonts w:ascii="仿宋" w:hAnsi="仿宋" w:cs="仿宋"/>
                <w:sz w:val="24"/>
              </w:rPr>
            </w:pPr>
            <w:r>
              <w:rPr>
                <w:rFonts w:hint="eastAsia" w:ascii="仿宋" w:hAnsi="仿宋" w:cs="仿宋"/>
                <w:sz w:val="24"/>
              </w:rPr>
              <w:t>质保期基础为3年，承诺每延长1年加2分，不承诺不得分，本项最高得6分。（提供质保期承诺函并加盖公章）</w:t>
            </w:r>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186" w:type="dxa"/>
            <w:vMerge w:val="continue"/>
            <w:vAlign w:val="center"/>
          </w:tcPr>
          <w:p>
            <w:pPr>
              <w:snapToGrid w:val="0"/>
              <w:spacing w:line="240" w:lineRule="atLeast"/>
              <w:ind w:firstLine="0" w:firstLineChars="0"/>
              <w:jc w:val="center"/>
              <w:rPr>
                <w:rFonts w:ascii="仿宋" w:hAnsi="仿宋" w:cs="仿宋"/>
                <w:w w:val="90"/>
                <w:sz w:val="24"/>
              </w:rPr>
            </w:pPr>
          </w:p>
        </w:tc>
        <w:tc>
          <w:tcPr>
            <w:tcW w:w="1009" w:type="dxa"/>
            <w:vAlign w:val="center"/>
          </w:tcPr>
          <w:p>
            <w:pPr>
              <w:snapToGrid w:val="0"/>
              <w:spacing w:line="240" w:lineRule="atLeast"/>
              <w:ind w:firstLine="0" w:firstLineChars="0"/>
              <w:jc w:val="center"/>
              <w:rPr>
                <w:rFonts w:ascii="仿宋" w:hAnsi="仿宋" w:cs="仿宋"/>
                <w:sz w:val="24"/>
              </w:rPr>
            </w:pPr>
            <w:r>
              <w:rPr>
                <w:rFonts w:hint="eastAsia" w:ascii="仿宋" w:hAnsi="仿宋" w:cs="仿宋"/>
                <w:sz w:val="24"/>
              </w:rPr>
              <w:t>认证体系</w:t>
            </w:r>
          </w:p>
        </w:tc>
        <w:tc>
          <w:tcPr>
            <w:tcW w:w="737" w:type="dxa"/>
            <w:vAlign w:val="center"/>
          </w:tcPr>
          <w:p>
            <w:pPr>
              <w:snapToGrid w:val="0"/>
              <w:spacing w:line="240" w:lineRule="atLeast"/>
              <w:ind w:firstLine="0" w:firstLineChars="0"/>
              <w:jc w:val="center"/>
              <w:rPr>
                <w:rFonts w:ascii="仿宋" w:hAnsi="仿宋" w:cs="仿宋"/>
                <w:w w:val="90"/>
                <w:sz w:val="24"/>
              </w:rPr>
            </w:pPr>
            <w:r>
              <w:rPr>
                <w:rFonts w:hint="eastAsia" w:ascii="仿宋" w:hAnsi="仿宋" w:cs="仿宋"/>
                <w:sz w:val="24"/>
              </w:rPr>
              <w:t>3分</w:t>
            </w:r>
          </w:p>
        </w:tc>
        <w:tc>
          <w:tcPr>
            <w:tcW w:w="6177" w:type="dxa"/>
            <w:vAlign w:val="center"/>
          </w:tcPr>
          <w:p>
            <w:pPr>
              <w:spacing w:line="240" w:lineRule="atLeast"/>
              <w:ind w:firstLine="0" w:firstLineChars="0"/>
              <w:rPr>
                <w:rFonts w:ascii="仿宋" w:hAnsi="仿宋" w:cs="仿宋"/>
                <w:sz w:val="24"/>
              </w:rPr>
            </w:pPr>
            <w:r>
              <w:rPr>
                <w:rFonts w:hint="eastAsia" w:ascii="仿宋" w:hAnsi="仿宋" w:cs="仿宋"/>
                <w:sz w:val="24"/>
              </w:rPr>
              <w:t>投标人具有“质量管理体系认证证书”、“职业健康安全管理体系认证证书”、“环境管理体系认证证书”的，全部提供得3分，缺一项扣一分。提供国家市场监督管理总局全国认证认可信息公共服务平台查询截图，否则不得分。</w:t>
            </w:r>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186" w:type="dxa"/>
            <w:vMerge w:val="continue"/>
            <w:vAlign w:val="center"/>
          </w:tcPr>
          <w:p>
            <w:pPr>
              <w:snapToGrid w:val="0"/>
              <w:spacing w:line="240" w:lineRule="atLeast"/>
              <w:ind w:firstLine="0" w:firstLineChars="0"/>
              <w:jc w:val="center"/>
              <w:rPr>
                <w:rFonts w:ascii="仿宋" w:hAnsi="仿宋" w:cs="仿宋"/>
                <w:w w:val="90"/>
                <w:sz w:val="24"/>
              </w:rPr>
            </w:pPr>
          </w:p>
        </w:tc>
        <w:tc>
          <w:tcPr>
            <w:tcW w:w="1009"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技术参数</w:t>
            </w:r>
          </w:p>
        </w:tc>
        <w:tc>
          <w:tcPr>
            <w:tcW w:w="737"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21分</w:t>
            </w:r>
          </w:p>
        </w:tc>
        <w:tc>
          <w:tcPr>
            <w:tcW w:w="6177" w:type="dxa"/>
            <w:vAlign w:val="center"/>
          </w:tcPr>
          <w:p>
            <w:pPr>
              <w:spacing w:line="240" w:lineRule="atLeast"/>
              <w:ind w:firstLine="0" w:firstLineChars="0"/>
              <w:jc w:val="left"/>
              <w:rPr>
                <w:rFonts w:ascii="仿宋" w:hAnsi="仿宋" w:cs="仿宋"/>
                <w:sz w:val="24"/>
              </w:rPr>
            </w:pPr>
            <w:r>
              <w:rPr>
                <w:rFonts w:hint="eastAsia" w:ascii="仿宋" w:hAnsi="仿宋" w:cs="仿宋"/>
                <w:sz w:val="24"/>
              </w:rPr>
              <w:t>投标人所投产品带★技术参数（带</w:t>
            </w:r>
            <w:r>
              <w:rPr>
                <w:rFonts w:hint="eastAsia" w:ascii="仿宋" w:hAnsi="仿宋" w:cs="仿宋"/>
                <w:color w:val="auto"/>
                <w:sz w:val="24"/>
                <w:szCs w:val="24"/>
              </w:rPr>
              <w:t>★参数</w:t>
            </w:r>
            <w:r>
              <w:rPr>
                <w:rFonts w:hint="eastAsia" w:ascii="仿宋" w:hAnsi="仿宋" w:cs="仿宋"/>
                <w:sz w:val="24"/>
              </w:rPr>
              <w:t>）全部满足招标参数要求得21分，参数每负偏离一条扣3分，扣完为止。</w:t>
            </w:r>
          </w:p>
          <w:p>
            <w:pPr>
              <w:spacing w:line="240" w:lineRule="atLeast"/>
              <w:ind w:firstLine="0" w:firstLineChars="0"/>
              <w:jc w:val="left"/>
              <w:rPr>
                <w:rFonts w:ascii="仿宋" w:hAnsi="仿宋" w:cs="仿宋"/>
                <w:sz w:val="24"/>
              </w:rPr>
            </w:pPr>
            <w:r>
              <w:rPr>
                <w:rFonts w:hint="eastAsia" w:ascii="仿宋" w:hAnsi="仿宋" w:cs="仿宋"/>
                <w:sz w:val="24"/>
              </w:rPr>
              <w:t>（货物技术参数应有技术资料作为证明材料，国家权威检测机构出具的型式试验报告或制造商出具的技术说明书或使用说明书等，否则不予认可）</w:t>
            </w:r>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1186" w:type="dxa"/>
            <w:vMerge w:val="restart"/>
            <w:vAlign w:val="center"/>
          </w:tcPr>
          <w:p>
            <w:pPr>
              <w:spacing w:line="240" w:lineRule="atLeast"/>
              <w:ind w:firstLine="0" w:firstLineChars="0"/>
              <w:jc w:val="center"/>
              <w:rPr>
                <w:rFonts w:ascii="仿宋" w:hAnsi="仿宋" w:cs="仿宋"/>
                <w:sz w:val="24"/>
              </w:rPr>
            </w:pPr>
            <w:r>
              <w:rPr>
                <w:rFonts w:hint="eastAsia" w:ascii="仿宋" w:hAnsi="仿宋" w:cs="仿宋"/>
                <w:sz w:val="24"/>
              </w:rPr>
              <w:t>技术部分</w:t>
            </w:r>
          </w:p>
          <w:p>
            <w:pPr>
              <w:spacing w:line="240" w:lineRule="atLeast"/>
              <w:ind w:firstLine="0" w:firstLineChars="0"/>
              <w:jc w:val="center"/>
              <w:rPr>
                <w:rFonts w:ascii="仿宋" w:hAnsi="仿宋" w:cs="仿宋"/>
                <w:sz w:val="24"/>
              </w:rPr>
            </w:pPr>
            <w:r>
              <w:rPr>
                <w:rFonts w:hint="eastAsia" w:ascii="仿宋" w:hAnsi="仿宋" w:cs="仿宋"/>
                <w:sz w:val="24"/>
              </w:rPr>
              <w:t>30分</w:t>
            </w:r>
          </w:p>
        </w:tc>
        <w:tc>
          <w:tcPr>
            <w:tcW w:w="1009" w:type="dxa"/>
            <w:vAlign w:val="center"/>
          </w:tcPr>
          <w:p>
            <w:pPr>
              <w:spacing w:line="240" w:lineRule="atLeast"/>
              <w:ind w:firstLine="0" w:firstLineChars="0"/>
              <w:jc w:val="center"/>
              <w:rPr>
                <w:rFonts w:ascii="仿宋" w:hAnsi="仿宋" w:cs="仿宋"/>
                <w:sz w:val="24"/>
                <w:highlight w:val="yellow"/>
              </w:rPr>
            </w:pPr>
            <w:r>
              <w:rPr>
                <w:rFonts w:hint="eastAsia" w:ascii="仿宋" w:hAnsi="仿宋" w:cs="仿宋"/>
                <w:sz w:val="24"/>
              </w:rPr>
              <w:t>售后</w:t>
            </w:r>
          </w:p>
        </w:tc>
        <w:tc>
          <w:tcPr>
            <w:tcW w:w="737" w:type="dxa"/>
            <w:vAlign w:val="center"/>
          </w:tcPr>
          <w:p>
            <w:pPr>
              <w:spacing w:line="240" w:lineRule="atLeast"/>
              <w:ind w:firstLine="0" w:firstLineChars="0"/>
              <w:jc w:val="center"/>
              <w:rPr>
                <w:rFonts w:ascii="仿宋" w:hAnsi="仿宋" w:cs="仿宋"/>
                <w:sz w:val="24"/>
                <w:highlight w:val="yellow"/>
              </w:rPr>
            </w:pPr>
            <w:r>
              <w:rPr>
                <w:rFonts w:hint="eastAsia" w:ascii="仿宋" w:hAnsi="仿宋" w:cs="仿宋"/>
                <w:sz w:val="24"/>
              </w:rPr>
              <w:t>10分</w:t>
            </w:r>
          </w:p>
        </w:tc>
        <w:tc>
          <w:tcPr>
            <w:tcW w:w="6177" w:type="dxa"/>
            <w:vAlign w:val="center"/>
          </w:tcPr>
          <w:p>
            <w:pPr>
              <w:spacing w:line="240" w:lineRule="atLeast"/>
              <w:ind w:firstLine="0" w:firstLineChars="0"/>
              <w:jc w:val="left"/>
              <w:rPr>
                <w:rFonts w:ascii="仿宋" w:hAnsi="仿宋" w:cs="仿宋"/>
                <w:sz w:val="24"/>
                <w:highlight w:val="yellow"/>
              </w:rPr>
            </w:pPr>
            <w:bookmarkStart w:id="3" w:name="OLE_LINK15"/>
            <w:bookmarkStart w:id="4" w:name="OLE_LINK14"/>
            <w:r>
              <w:rPr>
                <w:rFonts w:hint="eastAsia" w:ascii="仿宋" w:hAnsi="仿宋" w:cs="仿宋"/>
                <w:sz w:val="24"/>
              </w:rPr>
              <w:t>有售后及技术服务方案，并对项目选址规划、设备选型等提出合理化建议的，提供服务承诺并有处罚措施切实可行的：提供的完整的售后及技术服务方案。</w:t>
            </w:r>
            <w:bookmarkStart w:id="5" w:name="OLE_LINK16"/>
            <w:r>
              <w:rPr>
                <w:rFonts w:hint="eastAsia" w:ascii="仿宋" w:hAnsi="仿宋" w:cs="仿宋"/>
                <w:sz w:val="24"/>
              </w:rPr>
              <w:t>完整性、合理性、可行得10-7分，内容欠完备，基本可行6-4分，不可行3-0分。</w:t>
            </w:r>
            <w:bookmarkEnd w:id="3"/>
            <w:bookmarkEnd w:id="4"/>
            <w:bookmarkEnd w:id="5"/>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1186" w:type="dxa"/>
            <w:vMerge w:val="continue"/>
            <w:vAlign w:val="center"/>
          </w:tcPr>
          <w:p>
            <w:pPr>
              <w:snapToGrid w:val="0"/>
              <w:spacing w:line="240" w:lineRule="atLeast"/>
              <w:ind w:firstLine="0" w:firstLineChars="0"/>
              <w:jc w:val="center"/>
              <w:rPr>
                <w:rFonts w:ascii="仿宋" w:hAnsi="仿宋" w:cs="仿宋"/>
                <w:w w:val="90"/>
                <w:sz w:val="24"/>
              </w:rPr>
            </w:pPr>
          </w:p>
        </w:tc>
        <w:tc>
          <w:tcPr>
            <w:tcW w:w="1009" w:type="dxa"/>
            <w:vAlign w:val="center"/>
          </w:tcPr>
          <w:p>
            <w:pPr>
              <w:spacing w:line="240" w:lineRule="atLeast"/>
              <w:ind w:firstLine="0" w:firstLineChars="0"/>
              <w:jc w:val="center"/>
              <w:rPr>
                <w:rFonts w:ascii="仿宋" w:hAnsi="仿宋" w:cs="仿宋"/>
                <w:sz w:val="24"/>
              </w:rPr>
            </w:pPr>
            <w:r>
              <w:rPr>
                <w:rFonts w:hint="eastAsia" w:ascii="仿宋" w:hAnsi="仿宋" w:cs="仿宋"/>
                <w:sz w:val="24"/>
                <w:lang w:val="zh-TW"/>
              </w:rPr>
              <w:t>技术及安装实施方案</w:t>
            </w:r>
          </w:p>
        </w:tc>
        <w:tc>
          <w:tcPr>
            <w:tcW w:w="737"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10分</w:t>
            </w:r>
          </w:p>
        </w:tc>
        <w:tc>
          <w:tcPr>
            <w:tcW w:w="6177" w:type="dxa"/>
            <w:vAlign w:val="center"/>
          </w:tcPr>
          <w:p>
            <w:pPr>
              <w:spacing w:line="240" w:lineRule="atLeast"/>
              <w:ind w:firstLine="0" w:firstLineChars="0"/>
              <w:rPr>
                <w:rFonts w:ascii="仿宋" w:hAnsi="仿宋" w:cs="仿宋"/>
                <w:sz w:val="24"/>
              </w:rPr>
            </w:pPr>
            <w:r>
              <w:rPr>
                <w:rFonts w:hint="eastAsia" w:ascii="仿宋" w:hAnsi="仿宋" w:cs="仿宋"/>
                <w:sz w:val="24"/>
                <w:lang w:val="zh-TW"/>
              </w:rPr>
              <w:t>供应商</w:t>
            </w:r>
            <w:r>
              <w:rPr>
                <w:rFonts w:hint="eastAsia" w:ascii="仿宋" w:hAnsi="仿宋" w:cs="仿宋"/>
                <w:sz w:val="24"/>
              </w:rPr>
              <w:t>提供的完整的实施方案及质量保证措施，包括：技术团队、项目实施计划和工期安排及进度、质量保障措施、安全生产管理措施、项目验收方案等。</w:t>
            </w:r>
            <w:bookmarkStart w:id="6" w:name="OLE_LINK9"/>
            <w:r>
              <w:rPr>
                <w:rFonts w:hint="eastAsia" w:ascii="仿宋" w:hAnsi="仿宋" w:cs="仿宋"/>
                <w:sz w:val="24"/>
              </w:rPr>
              <w:t>完整性、合理性、可行得10-7分，内容欠完备，基本可行6-4分，不可行3-0分。</w:t>
            </w:r>
            <w:bookmarkEnd w:id="6"/>
          </w:p>
        </w:tc>
        <w:tc>
          <w:tcPr>
            <w:tcW w:w="504" w:type="dxa"/>
          </w:tcPr>
          <w:p>
            <w:pPr>
              <w:widowControl/>
              <w:spacing w:line="300" w:lineRule="exact"/>
              <w:ind w:firstLine="0" w:firstLineChars="0"/>
              <w:jc w:val="left"/>
              <w:rPr>
                <w:rFonts w:ascii="宋体" w:hAnsi="宋体"/>
                <w:w w:val="9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1186" w:type="dxa"/>
            <w:vMerge w:val="continue"/>
            <w:vAlign w:val="center"/>
          </w:tcPr>
          <w:p>
            <w:pPr>
              <w:snapToGrid w:val="0"/>
              <w:spacing w:line="240" w:lineRule="atLeast"/>
              <w:ind w:firstLine="0" w:firstLineChars="0"/>
              <w:jc w:val="center"/>
              <w:rPr>
                <w:rFonts w:ascii="仿宋" w:hAnsi="仿宋" w:cs="仿宋"/>
                <w:w w:val="90"/>
                <w:sz w:val="24"/>
              </w:rPr>
            </w:pPr>
          </w:p>
        </w:tc>
        <w:tc>
          <w:tcPr>
            <w:tcW w:w="1009"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产品先进性</w:t>
            </w:r>
          </w:p>
        </w:tc>
        <w:tc>
          <w:tcPr>
            <w:tcW w:w="737" w:type="dxa"/>
            <w:vAlign w:val="center"/>
          </w:tcPr>
          <w:p>
            <w:pPr>
              <w:spacing w:line="240" w:lineRule="atLeast"/>
              <w:ind w:firstLine="0" w:firstLineChars="0"/>
              <w:jc w:val="center"/>
              <w:rPr>
                <w:rFonts w:ascii="仿宋" w:hAnsi="仿宋" w:cs="仿宋"/>
                <w:sz w:val="24"/>
              </w:rPr>
            </w:pPr>
            <w:r>
              <w:rPr>
                <w:rFonts w:hint="eastAsia" w:ascii="仿宋" w:hAnsi="仿宋" w:cs="仿宋"/>
                <w:sz w:val="24"/>
              </w:rPr>
              <w:t>10分</w:t>
            </w:r>
          </w:p>
        </w:tc>
        <w:tc>
          <w:tcPr>
            <w:tcW w:w="6177" w:type="dxa"/>
            <w:vAlign w:val="center"/>
          </w:tcPr>
          <w:p>
            <w:pPr>
              <w:spacing w:line="240" w:lineRule="atLeast"/>
              <w:ind w:firstLine="0" w:firstLineChars="0"/>
              <w:rPr>
                <w:rFonts w:ascii="仿宋" w:hAnsi="仿宋" w:cs="仿宋"/>
                <w:sz w:val="24"/>
              </w:rPr>
            </w:pPr>
            <w:r>
              <w:rPr>
                <w:rFonts w:hint="eastAsia" w:ascii="仿宋" w:hAnsi="仿宋" w:cs="仿宋"/>
                <w:sz w:val="24"/>
              </w:rPr>
              <w:t>根据投标人充电站及充电设备设计具有先进性、安全性、实用性、扩容功能、降低损耗提高设备利用率等优势等维度进行综合评价。完整性、合理性、可行得10-7分，内容欠完备，基本可行6-4分，不可行3-0分。</w:t>
            </w:r>
          </w:p>
        </w:tc>
        <w:tc>
          <w:tcPr>
            <w:tcW w:w="504" w:type="dxa"/>
          </w:tcPr>
          <w:p>
            <w:pPr>
              <w:widowControl/>
              <w:spacing w:line="300" w:lineRule="exact"/>
              <w:ind w:firstLine="0" w:firstLineChars="0"/>
              <w:jc w:val="left"/>
              <w:rPr>
                <w:rFonts w:ascii="宋体" w:hAnsi="宋体"/>
                <w:w w:val="90"/>
                <w:sz w:val="28"/>
                <w:szCs w:val="20"/>
              </w:rPr>
            </w:pPr>
          </w:p>
        </w:tc>
      </w:tr>
      <w:bookmarkEnd w:id="0"/>
      <w:bookmarkEnd w:id="1"/>
    </w:tbl>
    <w:p>
      <w:pPr>
        <w:ind w:firstLine="0" w:firstLineChars="0"/>
      </w:pPr>
      <w:bookmarkStart w:id="7" w:name="_GoBack"/>
      <w:bookmarkEnd w:id="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F9BC2"/>
    <w:multiLevelType w:val="singleLevel"/>
    <w:tmpl w:val="F3CF9B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BA8"/>
    <w:rsid w:val="00014B87"/>
    <w:rsid w:val="00037F1E"/>
    <w:rsid w:val="000677C7"/>
    <w:rsid w:val="000806FA"/>
    <w:rsid w:val="000A2CBC"/>
    <w:rsid w:val="000B7929"/>
    <w:rsid w:val="000C2C19"/>
    <w:rsid w:val="000D5622"/>
    <w:rsid w:val="000E24E5"/>
    <w:rsid w:val="001102F0"/>
    <w:rsid w:val="0011199B"/>
    <w:rsid w:val="0012308F"/>
    <w:rsid w:val="00124144"/>
    <w:rsid w:val="00134365"/>
    <w:rsid w:val="00171905"/>
    <w:rsid w:val="00172A27"/>
    <w:rsid w:val="00173EFE"/>
    <w:rsid w:val="0017639B"/>
    <w:rsid w:val="00177F60"/>
    <w:rsid w:val="001B1B97"/>
    <w:rsid w:val="00244DDE"/>
    <w:rsid w:val="00252A6D"/>
    <w:rsid w:val="00273FA4"/>
    <w:rsid w:val="00283B98"/>
    <w:rsid w:val="002A7957"/>
    <w:rsid w:val="002D01B2"/>
    <w:rsid w:val="00307AB4"/>
    <w:rsid w:val="0033279F"/>
    <w:rsid w:val="00334774"/>
    <w:rsid w:val="00336090"/>
    <w:rsid w:val="00353899"/>
    <w:rsid w:val="0037594C"/>
    <w:rsid w:val="003C3842"/>
    <w:rsid w:val="003F4D5B"/>
    <w:rsid w:val="00414F8D"/>
    <w:rsid w:val="00417CF7"/>
    <w:rsid w:val="004528BF"/>
    <w:rsid w:val="004550EB"/>
    <w:rsid w:val="00472D18"/>
    <w:rsid w:val="004C16DD"/>
    <w:rsid w:val="004F12BD"/>
    <w:rsid w:val="00561780"/>
    <w:rsid w:val="0056377B"/>
    <w:rsid w:val="0059095E"/>
    <w:rsid w:val="005916E5"/>
    <w:rsid w:val="005E6F93"/>
    <w:rsid w:val="005F0D84"/>
    <w:rsid w:val="005F1F7C"/>
    <w:rsid w:val="005F700E"/>
    <w:rsid w:val="005F7AAD"/>
    <w:rsid w:val="006073AA"/>
    <w:rsid w:val="00621946"/>
    <w:rsid w:val="006310FE"/>
    <w:rsid w:val="00645A47"/>
    <w:rsid w:val="006566EA"/>
    <w:rsid w:val="0067096B"/>
    <w:rsid w:val="00672386"/>
    <w:rsid w:val="00692C55"/>
    <w:rsid w:val="0070783F"/>
    <w:rsid w:val="00727BC0"/>
    <w:rsid w:val="007731D6"/>
    <w:rsid w:val="007C010F"/>
    <w:rsid w:val="00841C07"/>
    <w:rsid w:val="008547D0"/>
    <w:rsid w:val="00867BA0"/>
    <w:rsid w:val="008E2923"/>
    <w:rsid w:val="00901558"/>
    <w:rsid w:val="00923BCE"/>
    <w:rsid w:val="0095695C"/>
    <w:rsid w:val="00973F32"/>
    <w:rsid w:val="009807DC"/>
    <w:rsid w:val="00981D32"/>
    <w:rsid w:val="009924A2"/>
    <w:rsid w:val="009A54E3"/>
    <w:rsid w:val="009D2C6E"/>
    <w:rsid w:val="009D3629"/>
    <w:rsid w:val="009F5249"/>
    <w:rsid w:val="009F5BF2"/>
    <w:rsid w:val="00A16F9F"/>
    <w:rsid w:val="00A3467A"/>
    <w:rsid w:val="00A74AC5"/>
    <w:rsid w:val="00A778F6"/>
    <w:rsid w:val="00AC327F"/>
    <w:rsid w:val="00B235CB"/>
    <w:rsid w:val="00B25CAB"/>
    <w:rsid w:val="00B37361"/>
    <w:rsid w:val="00B56782"/>
    <w:rsid w:val="00BB334B"/>
    <w:rsid w:val="00BF1C63"/>
    <w:rsid w:val="00C0598E"/>
    <w:rsid w:val="00C30D10"/>
    <w:rsid w:val="00C45B85"/>
    <w:rsid w:val="00C60F27"/>
    <w:rsid w:val="00C72EF3"/>
    <w:rsid w:val="00CE0912"/>
    <w:rsid w:val="00CF12F9"/>
    <w:rsid w:val="00CF6C18"/>
    <w:rsid w:val="00D00B39"/>
    <w:rsid w:val="00D746B3"/>
    <w:rsid w:val="00D95885"/>
    <w:rsid w:val="00DB1C14"/>
    <w:rsid w:val="00DE0532"/>
    <w:rsid w:val="00E4264E"/>
    <w:rsid w:val="00E90CDE"/>
    <w:rsid w:val="00EB6D83"/>
    <w:rsid w:val="00F44816"/>
    <w:rsid w:val="00F52414"/>
    <w:rsid w:val="00F75477"/>
    <w:rsid w:val="00FA70BC"/>
    <w:rsid w:val="00FD7570"/>
    <w:rsid w:val="0137703F"/>
    <w:rsid w:val="01CA6FC4"/>
    <w:rsid w:val="023F5184"/>
    <w:rsid w:val="02490865"/>
    <w:rsid w:val="05444896"/>
    <w:rsid w:val="06D8597D"/>
    <w:rsid w:val="07020ED4"/>
    <w:rsid w:val="08C67DB5"/>
    <w:rsid w:val="08E579ED"/>
    <w:rsid w:val="0ABB5B32"/>
    <w:rsid w:val="0C5F4E1E"/>
    <w:rsid w:val="0D803E67"/>
    <w:rsid w:val="0E4E1A6A"/>
    <w:rsid w:val="0E4F7BF4"/>
    <w:rsid w:val="0F353A1A"/>
    <w:rsid w:val="128173C5"/>
    <w:rsid w:val="1399257F"/>
    <w:rsid w:val="13AE025C"/>
    <w:rsid w:val="159506AA"/>
    <w:rsid w:val="17D46D02"/>
    <w:rsid w:val="18A03D41"/>
    <w:rsid w:val="19361BAF"/>
    <w:rsid w:val="19594D84"/>
    <w:rsid w:val="198C7217"/>
    <w:rsid w:val="1A5C35C2"/>
    <w:rsid w:val="1CBB0CAE"/>
    <w:rsid w:val="1F122EF7"/>
    <w:rsid w:val="1F9306FE"/>
    <w:rsid w:val="1FC13468"/>
    <w:rsid w:val="21280363"/>
    <w:rsid w:val="21611D1C"/>
    <w:rsid w:val="22286AF3"/>
    <w:rsid w:val="242057A9"/>
    <w:rsid w:val="265A7339"/>
    <w:rsid w:val="27577736"/>
    <w:rsid w:val="27BA32DD"/>
    <w:rsid w:val="285831B2"/>
    <w:rsid w:val="2A3264A9"/>
    <w:rsid w:val="2B766067"/>
    <w:rsid w:val="2C645D8D"/>
    <w:rsid w:val="2EB4366E"/>
    <w:rsid w:val="2FEA01E9"/>
    <w:rsid w:val="2FEC7C3A"/>
    <w:rsid w:val="329B7B20"/>
    <w:rsid w:val="33440D6D"/>
    <w:rsid w:val="34D86A5F"/>
    <w:rsid w:val="34E533D4"/>
    <w:rsid w:val="34FE472D"/>
    <w:rsid w:val="35092175"/>
    <w:rsid w:val="35574416"/>
    <w:rsid w:val="360F20D6"/>
    <w:rsid w:val="36135BB1"/>
    <w:rsid w:val="374D74BF"/>
    <w:rsid w:val="38611E50"/>
    <w:rsid w:val="38A225D0"/>
    <w:rsid w:val="392F3BA2"/>
    <w:rsid w:val="393B6E71"/>
    <w:rsid w:val="39606947"/>
    <w:rsid w:val="39DB5497"/>
    <w:rsid w:val="3A624C75"/>
    <w:rsid w:val="3B154BB1"/>
    <w:rsid w:val="3BAD74F8"/>
    <w:rsid w:val="3CCE7D0E"/>
    <w:rsid w:val="40C23EB2"/>
    <w:rsid w:val="40E71B37"/>
    <w:rsid w:val="425C1E19"/>
    <w:rsid w:val="439D3E70"/>
    <w:rsid w:val="43BC0B23"/>
    <w:rsid w:val="44507E26"/>
    <w:rsid w:val="45D469B4"/>
    <w:rsid w:val="461270B9"/>
    <w:rsid w:val="46572996"/>
    <w:rsid w:val="467B49B9"/>
    <w:rsid w:val="477473F1"/>
    <w:rsid w:val="48420F8B"/>
    <w:rsid w:val="4B2C42DE"/>
    <w:rsid w:val="4B8C33AD"/>
    <w:rsid w:val="4BB55143"/>
    <w:rsid w:val="4D297114"/>
    <w:rsid w:val="506F5CE1"/>
    <w:rsid w:val="527929E9"/>
    <w:rsid w:val="53473429"/>
    <w:rsid w:val="53B603D5"/>
    <w:rsid w:val="540E6587"/>
    <w:rsid w:val="54C4151E"/>
    <w:rsid w:val="54E50366"/>
    <w:rsid w:val="557A5E63"/>
    <w:rsid w:val="57F62C06"/>
    <w:rsid w:val="588D4677"/>
    <w:rsid w:val="596500A8"/>
    <w:rsid w:val="5B3F570A"/>
    <w:rsid w:val="5BED6BC4"/>
    <w:rsid w:val="5C7F651B"/>
    <w:rsid w:val="5C8D12D3"/>
    <w:rsid w:val="5CAF63AA"/>
    <w:rsid w:val="5CF12E02"/>
    <w:rsid w:val="601161B9"/>
    <w:rsid w:val="612229C7"/>
    <w:rsid w:val="65D225D6"/>
    <w:rsid w:val="67FC44A4"/>
    <w:rsid w:val="692D7D59"/>
    <w:rsid w:val="695F628D"/>
    <w:rsid w:val="69E20164"/>
    <w:rsid w:val="6A1271A7"/>
    <w:rsid w:val="6AA13003"/>
    <w:rsid w:val="6D905244"/>
    <w:rsid w:val="6E8F0DAA"/>
    <w:rsid w:val="6EE57C3B"/>
    <w:rsid w:val="6F1C0E40"/>
    <w:rsid w:val="703F4F52"/>
    <w:rsid w:val="716F2336"/>
    <w:rsid w:val="7172533B"/>
    <w:rsid w:val="71BB1844"/>
    <w:rsid w:val="737E1181"/>
    <w:rsid w:val="74B70E22"/>
    <w:rsid w:val="75FB2539"/>
    <w:rsid w:val="77166883"/>
    <w:rsid w:val="771B3D7E"/>
    <w:rsid w:val="77F549C4"/>
    <w:rsid w:val="789F2BF8"/>
    <w:rsid w:val="79547289"/>
    <w:rsid w:val="7A825509"/>
    <w:rsid w:val="7B174C7C"/>
    <w:rsid w:val="7B7656C9"/>
    <w:rsid w:val="7C075F99"/>
    <w:rsid w:val="7C61005E"/>
    <w:rsid w:val="7D2057C6"/>
    <w:rsid w:val="7D3B4DF5"/>
    <w:rsid w:val="7FB3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outlineLvl w:val="0"/>
    </w:pPr>
    <w:rPr>
      <w:rFonts w:eastAsia="黑体" w:cs="仿宋_GB2312"/>
      <w:kern w:val="44"/>
      <w:szCs w:val="32"/>
    </w:rPr>
  </w:style>
  <w:style w:type="paragraph" w:styleId="4">
    <w:name w:val="heading 2"/>
    <w:basedOn w:val="1"/>
    <w:next w:val="5"/>
    <w:link w:val="23"/>
    <w:semiHidden/>
    <w:unhideWhenUsed/>
    <w:qFormat/>
    <w:uiPriority w:val="0"/>
    <w:pPr>
      <w:keepNext/>
      <w:keepLines/>
      <w:outlineLvl w:val="1"/>
    </w:pPr>
    <w:rPr>
      <w:rFonts w:ascii="Calibri Light" w:hAnsi="Calibri Light" w:eastAsia="楷体"/>
      <w:b/>
      <w:bCs/>
      <w:szCs w:val="32"/>
    </w:rPr>
  </w:style>
  <w:style w:type="paragraph" w:styleId="6">
    <w:name w:val="heading 3"/>
    <w:basedOn w:val="1"/>
    <w:next w:val="1"/>
    <w:link w:val="21"/>
    <w:semiHidden/>
    <w:unhideWhenUsed/>
    <w:qFormat/>
    <w:uiPriority w:val="0"/>
    <w:pPr>
      <w:keepNext/>
      <w:keepLines/>
      <w:spacing w:before="140" w:after="140" w:line="240" w:lineRule="auto"/>
      <w:ind w:firstLine="1041"/>
      <w:outlineLvl w:val="2"/>
    </w:pPr>
    <w:rPr>
      <w:rFonts w:asciiTheme="minorHAnsi" w:hAnsiTheme="minorHAnsi" w:eastAsiaTheme="minorEastAsia" w:cstheme="minorBidi"/>
      <w:b/>
      <w:szCs w:val="22"/>
    </w:rPr>
  </w:style>
  <w:style w:type="paragraph" w:styleId="7">
    <w:name w:val="heading 4"/>
    <w:basedOn w:val="1"/>
    <w:next w:val="1"/>
    <w:link w:val="22"/>
    <w:semiHidden/>
    <w:unhideWhenUsed/>
    <w:qFormat/>
    <w:uiPriority w:val="0"/>
    <w:pPr>
      <w:keepNext/>
      <w:keepLines/>
      <w:spacing w:before="60" w:after="60" w:line="240" w:lineRule="auto"/>
      <w:ind w:firstLine="1041"/>
      <w:outlineLvl w:val="3"/>
    </w:pPr>
    <w:rPr>
      <w:rFonts w:ascii="Arial" w:hAnsi="Arial" w:eastAsia="黑体" w:cstheme="minorBidi"/>
      <w:b/>
      <w:sz w:val="28"/>
      <w:szCs w:val="22"/>
    </w:rPr>
  </w:style>
  <w:style w:type="paragraph" w:styleId="8">
    <w:name w:val="heading 5"/>
    <w:basedOn w:val="1"/>
    <w:next w:val="1"/>
    <w:semiHidden/>
    <w:unhideWhenUsed/>
    <w:qFormat/>
    <w:uiPriority w:val="0"/>
    <w:pPr>
      <w:keepNext/>
      <w:keepLines/>
      <w:spacing w:line="240" w:lineRule="auto"/>
      <w:ind w:firstLine="1041"/>
      <w:outlineLvl w:val="4"/>
    </w:pPr>
    <w:rPr>
      <w:rFonts w:asciiTheme="minorHAnsi" w:hAnsiTheme="minorHAnsi" w:eastAsiaTheme="minorEastAsia" w:cstheme="minorBidi"/>
      <w:b/>
      <w:sz w:val="28"/>
      <w:szCs w:val="22"/>
    </w:rPr>
  </w:style>
  <w:style w:type="character" w:default="1" w:styleId="19">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after="200" w:line="276" w:lineRule="auto"/>
    </w:pPr>
    <w:rPr>
      <w:rFonts w:hint="eastAsia" w:ascii="Arial" w:hAnsi="Arial" w:eastAsia="宋体" w:cs="Times New Roman"/>
      <w:color w:val="000000"/>
      <w:sz w:val="24"/>
      <w:szCs w:val="22"/>
      <w:lang w:val="en-US" w:eastAsia="zh-CN" w:bidi="ar-SA"/>
    </w:rPr>
  </w:style>
  <w:style w:type="paragraph" w:styleId="5">
    <w:name w:val="Normal Indent"/>
    <w:basedOn w:val="1"/>
    <w:qFormat/>
    <w:uiPriority w:val="0"/>
    <w:pPr>
      <w:spacing w:line="360" w:lineRule="auto"/>
    </w:pPr>
    <w:rPr>
      <w:sz w:val="24"/>
    </w:rPr>
  </w:style>
  <w:style w:type="paragraph" w:styleId="9">
    <w:name w:val="Body Text First Indent"/>
    <w:basedOn w:val="10"/>
    <w:unhideWhenUsed/>
    <w:qFormat/>
    <w:uiPriority w:val="99"/>
    <w:pPr>
      <w:ind w:firstLine="420" w:firstLineChars="100"/>
    </w:pPr>
  </w:style>
  <w:style w:type="paragraph" w:styleId="10">
    <w:name w:val="Body Text"/>
    <w:basedOn w:val="1"/>
    <w:next w:val="1"/>
    <w:qFormat/>
    <w:uiPriority w:val="1"/>
    <w:rPr>
      <w:sz w:val="21"/>
      <w:szCs w:val="21"/>
    </w:rPr>
  </w:style>
  <w:style w:type="paragraph" w:styleId="11">
    <w:name w:val="table of authorities"/>
    <w:basedOn w:val="1"/>
    <w:next w:val="1"/>
    <w:unhideWhenUsed/>
    <w:qFormat/>
    <w:uiPriority w:val="99"/>
    <w:pPr>
      <w:ind w:left="420" w:leftChars="200"/>
    </w:pPr>
    <w:rPr>
      <w:szCs w:val="20"/>
    </w:rPr>
  </w:style>
  <w:style w:type="paragraph" w:styleId="12">
    <w:name w:val="annotation text"/>
    <w:basedOn w:val="1"/>
    <w:qFormat/>
    <w:uiPriority w:val="0"/>
    <w:pPr>
      <w:jc w:val="left"/>
    </w:pPr>
  </w:style>
  <w:style w:type="paragraph" w:styleId="13">
    <w:name w:val="Balloon Text"/>
    <w:basedOn w:val="1"/>
    <w:link w:val="26"/>
    <w:qFormat/>
    <w:uiPriority w:val="0"/>
    <w:pPr>
      <w:spacing w:line="240" w:lineRule="auto"/>
    </w:pPr>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Body Text First Indent 2"/>
    <w:basedOn w:val="1"/>
    <w:next w:val="1"/>
    <w:qFormat/>
    <w:uiPriority w:val="0"/>
    <w:pPr>
      <w:ind w:firstLine="420"/>
    </w:p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7">
    <w:name w:val="toc 1"/>
    <w:basedOn w:val="1"/>
    <w:next w:val="1"/>
    <w:qFormat/>
    <w:uiPriority w:val="39"/>
    <w:pPr>
      <w:tabs>
        <w:tab w:val="right" w:leader="dot" w:pos="8296"/>
      </w:tabs>
      <w:outlineLvl w:val="0"/>
    </w:pPr>
    <w:rPr>
      <w:rFonts w:eastAsia="仿宋_GB2312"/>
      <w:b/>
      <w:sz w:val="24"/>
      <w:szCs w:val="20"/>
    </w:rPr>
  </w:style>
  <w:style w:type="paragraph" w:styleId="18">
    <w:name w:val="Normal (Web)"/>
    <w:basedOn w:val="1"/>
    <w:qFormat/>
    <w:uiPriority w:val="0"/>
    <w:pPr>
      <w:spacing w:before="100" w:beforeAutospacing="1" w:after="100" w:afterAutospacing="1"/>
      <w:jc w:val="left"/>
    </w:pPr>
    <w:rPr>
      <w:kern w:val="0"/>
      <w:sz w:val="24"/>
    </w:rPr>
  </w:style>
  <w:style w:type="character" w:customStyle="1" w:styleId="21">
    <w:name w:val="标题 3 Char"/>
    <w:link w:val="6"/>
    <w:qFormat/>
    <w:uiPriority w:val="9"/>
    <w:rPr>
      <w:rFonts w:asciiTheme="minorHAnsi" w:hAnsiTheme="minorHAnsi" w:eastAsiaTheme="minorEastAsia" w:cstheme="minorBidi"/>
      <w:b/>
      <w:sz w:val="32"/>
      <w:szCs w:val="22"/>
    </w:rPr>
  </w:style>
  <w:style w:type="character" w:customStyle="1" w:styleId="22">
    <w:name w:val="标题 4 Char"/>
    <w:link w:val="7"/>
    <w:qFormat/>
    <w:uiPriority w:val="9"/>
    <w:rPr>
      <w:rFonts w:ascii="Arial" w:hAnsi="Arial" w:eastAsia="黑体" w:cstheme="minorBidi"/>
      <w:b/>
      <w:sz w:val="28"/>
      <w:szCs w:val="22"/>
    </w:rPr>
  </w:style>
  <w:style w:type="character" w:customStyle="1" w:styleId="23">
    <w:name w:val="标题 2 Char"/>
    <w:basedOn w:val="19"/>
    <w:link w:val="4"/>
    <w:qFormat/>
    <w:uiPriority w:val="9"/>
    <w:rPr>
      <w:rFonts w:eastAsia="宋体" w:cs="Times New Roman" w:asciiTheme="majorHAnsi" w:hAnsiTheme="majorHAnsi"/>
      <w:b/>
      <w:bCs/>
      <w:sz w:val="32"/>
      <w:szCs w:val="32"/>
    </w:rPr>
  </w:style>
  <w:style w:type="paragraph" w:styleId="24">
    <w:name w:val="List Paragraph"/>
    <w:basedOn w:val="1"/>
    <w:qFormat/>
    <w:uiPriority w:val="99"/>
    <w:pPr>
      <w:ind w:firstLine="420"/>
    </w:pPr>
  </w:style>
  <w:style w:type="paragraph" w:styleId="25">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26">
    <w:name w:val="批注框文本 Char"/>
    <w:basedOn w:val="19"/>
    <w:link w:val="13"/>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B80DE-FF99-4C24-99FF-2181293B86CB}">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19</Pages>
  <Words>2163</Words>
  <Characters>12330</Characters>
  <Lines>102</Lines>
  <Paragraphs>28</Paragraphs>
  <TotalTime>72</TotalTime>
  <ScaleCrop>false</ScaleCrop>
  <LinksUpToDate>false</LinksUpToDate>
  <CharactersWithSpaces>14465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2025-04-07T09:01:00Z</dcterms:created>
  <dc:creator>要study去了</dc:creator>
  <cp:lastModifiedBy>陈</cp:lastModifiedBy>
  <cp:lastPrinted>2025-04-08T03:19:00Z</cp:lastPrinted>
  <dcterms:modified xsi:type="dcterms:W3CDTF">2025-04-08T07:14:57Z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141734EC1A434228BA70D2EF0A4A6176_13</vt:lpwstr>
  </property>
  <property fmtid="{D5CDD505-2E9C-101B-9397-08002B2CF9AE}" pid="4" name="KSOTemplateDocerSaveRecord">
    <vt:lpwstr>eyJoZGlkIjoiNWUzMDYxYzc2ZDFiYmYzNDBiMzk4MDg4YTkwNjUzYWYiLCJ1c2VySWQiOiIzOTQ2Mzk4NjQifQ==</vt:lpwstr>
  </property>
</Properties>
</file>