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2A922">
      <w:pPr>
        <w:pStyle w:val="3"/>
        <w:spacing w:before="40" w:after="40" w:line="360" w:lineRule="auto"/>
        <w:jc w:val="left"/>
        <w:rPr>
          <w:rFonts w:ascii="宋体" w:hAnsi="宋体"/>
          <w:sz w:val="24"/>
          <w:szCs w:val="24"/>
        </w:rPr>
      </w:pPr>
      <w:bookmarkStart w:id="2" w:name="_GoBack"/>
      <w:r>
        <w:rPr>
          <w:rFonts w:hint="eastAsia" w:cs="Times New Roman" w:asciiTheme="majorEastAsia" w:hAnsiTheme="majorEastAsia"/>
          <w:sz w:val="30"/>
          <w:szCs w:val="30"/>
          <w:lang w:val="zh-CN"/>
        </w:rPr>
        <w:t>评分标准</w:t>
      </w:r>
      <w:r>
        <w:rPr>
          <w:rFonts w:hint="eastAsia" w:cs="Times New Roman" w:asciiTheme="majorEastAsia" w:hAnsiTheme="majorEastAsia"/>
          <w:sz w:val="30"/>
          <w:szCs w:val="30"/>
        </w:rPr>
        <w:t xml:space="preserve"> </w:t>
      </w:r>
      <w:bookmarkEnd w:id="2"/>
      <w:r>
        <w:rPr>
          <w:rFonts w:hint="eastAsia" w:cs="Times New Roman" w:asciiTheme="majorEastAsia" w:hAnsiTheme="majorEastAsia"/>
          <w:sz w:val="30"/>
          <w:szCs w:val="30"/>
        </w:rPr>
        <w:t xml:space="preserve">                                                              </w:t>
      </w:r>
    </w:p>
    <w:tbl>
      <w:tblPr>
        <w:tblStyle w:val="5"/>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46"/>
        <w:gridCol w:w="1118"/>
        <w:gridCol w:w="617"/>
        <w:gridCol w:w="6417"/>
      </w:tblGrid>
      <w:tr w14:paraId="733F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9" w:hRule="atLeast"/>
          <w:tblHeader/>
          <w:jc w:val="center"/>
        </w:trPr>
        <w:tc>
          <w:tcPr>
            <w:tcW w:w="1146" w:type="dxa"/>
            <w:shd w:val="clear" w:color="auto" w:fill="F1F1F1"/>
            <w:vAlign w:val="center"/>
          </w:tcPr>
          <w:p w14:paraId="4B5F8A9B">
            <w:pPr>
              <w:widowControl/>
              <w:spacing w:line="360" w:lineRule="auto"/>
              <w:jc w:val="center"/>
              <w:textAlignment w:val="center"/>
              <w:rPr>
                <w:rFonts w:ascii="宋体" w:hAnsi="宋体" w:cs="宋体"/>
                <w:b/>
                <w:sz w:val="24"/>
                <w:szCs w:val="24"/>
              </w:rPr>
            </w:pPr>
            <w:r>
              <w:rPr>
                <w:rFonts w:hint="eastAsia" w:ascii="宋体" w:hAnsi="宋体" w:cs="宋体"/>
                <w:b/>
                <w:kern w:val="0"/>
                <w:sz w:val="24"/>
                <w:szCs w:val="24"/>
                <w:lang w:bidi="ar"/>
              </w:rPr>
              <w:t>评分项目</w:t>
            </w:r>
          </w:p>
        </w:tc>
        <w:tc>
          <w:tcPr>
            <w:tcW w:w="1118" w:type="dxa"/>
            <w:shd w:val="clear" w:color="auto" w:fill="F1F1F1"/>
            <w:vAlign w:val="center"/>
          </w:tcPr>
          <w:p w14:paraId="10B41856">
            <w:pPr>
              <w:widowControl/>
              <w:spacing w:line="360" w:lineRule="auto"/>
              <w:jc w:val="center"/>
              <w:textAlignment w:val="center"/>
              <w:rPr>
                <w:rFonts w:ascii="宋体" w:hAnsi="宋体" w:cs="宋体"/>
                <w:b/>
                <w:sz w:val="24"/>
                <w:szCs w:val="24"/>
              </w:rPr>
            </w:pPr>
            <w:r>
              <w:rPr>
                <w:rFonts w:hint="eastAsia" w:ascii="宋体" w:hAnsi="宋体" w:cs="宋体"/>
                <w:b/>
                <w:sz w:val="24"/>
                <w:szCs w:val="24"/>
              </w:rPr>
              <w:t>评分分项</w:t>
            </w:r>
          </w:p>
        </w:tc>
        <w:tc>
          <w:tcPr>
            <w:tcW w:w="617" w:type="dxa"/>
            <w:shd w:val="clear" w:color="auto" w:fill="F1F1F1"/>
            <w:vAlign w:val="center"/>
          </w:tcPr>
          <w:p w14:paraId="3FE0451F">
            <w:pPr>
              <w:widowControl/>
              <w:spacing w:line="360" w:lineRule="auto"/>
              <w:jc w:val="center"/>
              <w:textAlignment w:val="center"/>
              <w:rPr>
                <w:rFonts w:ascii="宋体" w:hAnsi="宋体" w:cs="宋体"/>
                <w:b/>
                <w:sz w:val="24"/>
                <w:szCs w:val="24"/>
              </w:rPr>
            </w:pPr>
            <w:r>
              <w:rPr>
                <w:rFonts w:hint="eastAsia" w:ascii="宋体" w:hAnsi="宋体" w:cs="宋体"/>
                <w:b/>
                <w:sz w:val="24"/>
                <w:szCs w:val="24"/>
              </w:rPr>
              <w:t>分值</w:t>
            </w:r>
          </w:p>
        </w:tc>
        <w:tc>
          <w:tcPr>
            <w:tcW w:w="6417" w:type="dxa"/>
            <w:shd w:val="clear" w:color="auto" w:fill="F1F1F1"/>
            <w:vAlign w:val="center"/>
          </w:tcPr>
          <w:p w14:paraId="468C68A9">
            <w:pPr>
              <w:widowControl/>
              <w:spacing w:line="360" w:lineRule="auto"/>
              <w:jc w:val="center"/>
              <w:textAlignment w:val="center"/>
              <w:rPr>
                <w:rFonts w:ascii="宋体" w:hAnsi="宋体" w:cs="宋体"/>
                <w:b/>
                <w:sz w:val="24"/>
                <w:szCs w:val="24"/>
              </w:rPr>
            </w:pPr>
            <w:r>
              <w:rPr>
                <w:rFonts w:hint="eastAsia" w:ascii="宋体" w:hAnsi="宋体" w:cs="宋体"/>
                <w:b/>
                <w:sz w:val="24"/>
                <w:szCs w:val="24"/>
              </w:rPr>
              <w:t>子项目</w:t>
            </w:r>
          </w:p>
        </w:tc>
      </w:tr>
      <w:tr w14:paraId="1FC4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88" w:hRule="atLeast"/>
          <w:jc w:val="center"/>
        </w:trPr>
        <w:tc>
          <w:tcPr>
            <w:tcW w:w="1146" w:type="dxa"/>
            <w:vMerge w:val="restart"/>
            <w:vAlign w:val="center"/>
          </w:tcPr>
          <w:p w14:paraId="4B113339">
            <w:pPr>
              <w:widowControl/>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技术部分</w:t>
            </w:r>
          </w:p>
          <w:p w14:paraId="17648A0F">
            <w:pPr>
              <w:widowControl/>
              <w:rPr>
                <w:rFonts w:ascii="宋体" w:hAnsi="宋体" w:cs="宋体"/>
                <w:kern w:val="0"/>
                <w:sz w:val="24"/>
                <w:szCs w:val="24"/>
              </w:rPr>
            </w:pPr>
            <w:r>
              <w:rPr>
                <w:rFonts w:hint="eastAsia" w:ascii="宋体" w:hAnsi="宋体" w:cs="宋体"/>
                <w:color w:val="000000" w:themeColor="text1"/>
                <w:kern w:val="0"/>
                <w:sz w:val="24"/>
                <w:szCs w:val="24"/>
                <w14:textFill>
                  <w14:solidFill>
                    <w14:schemeClr w14:val="tx1"/>
                  </w14:solidFill>
                </w14:textFill>
              </w:rPr>
              <w:t>（30分</w:t>
            </w:r>
            <w:r>
              <w:rPr>
                <w:rFonts w:hint="eastAsia" w:ascii="宋体" w:hAnsi="宋体" w:cs="宋体"/>
                <w:color w:val="0000FF"/>
                <w:kern w:val="0"/>
                <w:sz w:val="24"/>
                <w:szCs w:val="24"/>
              </w:rPr>
              <w:t>）</w:t>
            </w:r>
          </w:p>
        </w:tc>
        <w:tc>
          <w:tcPr>
            <w:tcW w:w="1118" w:type="dxa"/>
            <w:vAlign w:val="center"/>
          </w:tcPr>
          <w:p w14:paraId="3DF5CE62">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设备安装方案</w:t>
            </w:r>
          </w:p>
        </w:tc>
        <w:tc>
          <w:tcPr>
            <w:tcW w:w="617" w:type="dxa"/>
            <w:vAlign w:val="center"/>
          </w:tcPr>
          <w:p w14:paraId="02DBC1D8">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w:t>
            </w:r>
          </w:p>
        </w:tc>
        <w:tc>
          <w:tcPr>
            <w:tcW w:w="6417" w:type="dxa"/>
            <w:vAlign w:val="center"/>
          </w:tcPr>
          <w:p w14:paraId="34EC0AFA">
            <w:pPr>
              <w:rPr>
                <w:rFonts w:ascii="宋体" w:hAnsi="宋体" w:eastAsia="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安装方案与需求的吻合程度，包括方案的科学性、先进性、可行性和拓展性、方案是否完整、方案是否科学合理、安全严密、具有一定的前瞻性、是否有督导的优势、</w:t>
            </w:r>
            <w:r>
              <w:rPr>
                <w:rFonts w:hint="eastAsia" w:ascii="宋体" w:hAnsi="宋体" w:eastAsia="宋体" w:cs="宋体"/>
                <w:color w:val="000000" w:themeColor="text1"/>
                <w:sz w:val="22"/>
                <w14:textFill>
                  <w14:solidFill>
                    <w14:schemeClr w14:val="tx1"/>
                  </w14:solidFill>
                </w14:textFill>
              </w:rPr>
              <w:t>可行得</w:t>
            </w:r>
            <w:r>
              <w:rPr>
                <w:rFonts w:ascii="宋体" w:hAnsi="宋体" w:eastAsia="宋体" w:cs="宋体"/>
                <w:color w:val="000000" w:themeColor="text1"/>
                <w:kern w:val="0"/>
                <w:sz w:val="22"/>
                <w14:textFill>
                  <w14:solidFill>
                    <w14:schemeClr w14:val="tx1"/>
                  </w14:solidFill>
                </w14:textFill>
              </w:rPr>
              <w:t>10-7</w:t>
            </w:r>
            <w:r>
              <w:rPr>
                <w:rFonts w:hint="eastAsia" w:ascii="宋体" w:hAnsi="宋体" w:eastAsia="宋体" w:cs="宋体"/>
                <w:color w:val="000000" w:themeColor="text1"/>
                <w:sz w:val="22"/>
                <w14:textFill>
                  <w14:solidFill>
                    <w14:schemeClr w14:val="tx1"/>
                  </w14:solidFill>
                </w14:textFill>
              </w:rPr>
              <w:t>分；内容在合理、完整、可行性方面一般，得</w:t>
            </w:r>
            <w:r>
              <w:rPr>
                <w:rFonts w:ascii="宋体" w:hAnsi="宋体" w:eastAsia="宋体" w:cs="宋体"/>
                <w:color w:val="000000" w:themeColor="text1"/>
                <w:kern w:val="0"/>
                <w:sz w:val="22"/>
                <w14:textFill>
                  <w14:solidFill>
                    <w14:schemeClr w14:val="tx1"/>
                  </w14:solidFill>
                </w14:textFill>
              </w:rPr>
              <w:t>6-3</w:t>
            </w:r>
            <w:r>
              <w:rPr>
                <w:rFonts w:hint="eastAsia" w:ascii="宋体" w:hAnsi="宋体" w:eastAsia="宋体" w:cs="宋体"/>
                <w:color w:val="000000" w:themeColor="text1"/>
                <w:sz w:val="22"/>
                <w14:textFill>
                  <w14:solidFill>
                    <w14:schemeClr w14:val="tx1"/>
                  </w14:solidFill>
                </w14:textFill>
              </w:rPr>
              <w:t>分；内容在合理、完整、可行性方面差，得</w:t>
            </w:r>
            <w:r>
              <w:rPr>
                <w:rFonts w:ascii="宋体" w:hAnsi="宋体" w:eastAsia="宋体" w:cs="宋体"/>
                <w:color w:val="000000" w:themeColor="text1"/>
                <w:sz w:val="22"/>
                <w14:textFill>
                  <w14:solidFill>
                    <w14:schemeClr w14:val="tx1"/>
                  </w14:solidFill>
                </w14:textFill>
              </w:rPr>
              <w:t>2-0分；未提供得不得分。</w:t>
            </w:r>
          </w:p>
        </w:tc>
      </w:tr>
      <w:tr w14:paraId="6D9F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56" w:hRule="atLeast"/>
          <w:jc w:val="center"/>
        </w:trPr>
        <w:tc>
          <w:tcPr>
            <w:tcW w:w="1146" w:type="dxa"/>
            <w:vMerge w:val="continue"/>
            <w:vAlign w:val="center"/>
          </w:tcPr>
          <w:p w14:paraId="0BDF3281">
            <w:pPr>
              <w:widowControl/>
              <w:rPr>
                <w:rFonts w:ascii="宋体" w:hAnsi="宋体" w:cs="宋体"/>
                <w:kern w:val="0"/>
                <w:sz w:val="24"/>
                <w:szCs w:val="24"/>
              </w:rPr>
            </w:pPr>
          </w:p>
        </w:tc>
        <w:tc>
          <w:tcPr>
            <w:tcW w:w="1118" w:type="dxa"/>
            <w:vAlign w:val="center"/>
          </w:tcPr>
          <w:p w14:paraId="19EE5261">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平台运行方案</w:t>
            </w:r>
          </w:p>
        </w:tc>
        <w:tc>
          <w:tcPr>
            <w:tcW w:w="617" w:type="dxa"/>
            <w:vAlign w:val="center"/>
          </w:tcPr>
          <w:p w14:paraId="72222657">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w:t>
            </w:r>
          </w:p>
        </w:tc>
        <w:tc>
          <w:tcPr>
            <w:tcW w:w="6417" w:type="dxa"/>
            <w:vAlign w:val="center"/>
          </w:tcPr>
          <w:p w14:paraId="14BE4A67">
            <w:pP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投标人提供相对应的信息化平台设计方案。方案包括但不限于</w:t>
            </w:r>
            <w:r>
              <w:rPr>
                <w:rFonts w:ascii="宋体" w:hAnsi="宋体" w:cs="宋体"/>
                <w:color w:val="000000" w:themeColor="text1"/>
                <w:kern w:val="0"/>
                <w:sz w:val="22"/>
                <w14:textFill>
                  <w14:solidFill>
                    <w14:schemeClr w14:val="tx1"/>
                  </w14:solidFill>
                </w14:textFill>
              </w:rPr>
              <w:t>1.搭建搭建集中供热智能化系统、支持宽带通讯、4G移动通讯等多种通讯网络，通过云平台系统实时查看到各项实时计量参数，提供专业化的数据分析与处理，提供全网温度、压力、密度、瞬时流量、累积流量等各项数据的实时显示；2.可在一个界面进行实时曲线对比展示，同比环比展示，数据抽样展示。可按时间、按用户名对访问过平台的用户进行历史查询（查询的内容包括：登录时间、用户名、登录的操作系统等）；3.自主进行各个账号设定、各账号权限及可见内容的设置。自动生成各类用量报表、统计报表，且支持下载到本地电脑上。管理人员通过微信小程序即可对全部数据监视与管理；4.通过地图形式，一张图展示所有监测点状态信息、报警信息等。</w:t>
            </w:r>
          </w:p>
          <w:p w14:paraId="025460BF">
            <w:pP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由投标人自行组织勘查并提出以上可实施性方案。方案内容科学完整，能解决用户反映的一些主要问题，在本项目中如何进一步改进等。</w:t>
            </w:r>
          </w:p>
          <w:p w14:paraId="59699418">
            <w:pPr>
              <w:rPr>
                <w:rFonts w:ascii="宋体" w:hAnsi="宋体" w:eastAsia="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方案合理、完整、科学、可行得</w:t>
            </w:r>
            <w:r>
              <w:rPr>
                <w:rFonts w:ascii="宋体" w:hAnsi="宋体" w:cs="宋体"/>
                <w:color w:val="000000" w:themeColor="text1"/>
                <w:kern w:val="0"/>
                <w:sz w:val="22"/>
                <w14:textFill>
                  <w14:solidFill>
                    <w14:schemeClr w14:val="tx1"/>
                  </w14:solidFill>
                </w14:textFill>
              </w:rPr>
              <w:t>10-7分；方案在合理性、完整性、科学性、可行性方面一般，得6-3分；方案在合理性、完整性、科学性、可行性方面差，得2-0分；未提供得不得分。</w:t>
            </w:r>
          </w:p>
        </w:tc>
      </w:tr>
      <w:tr w14:paraId="542C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17" w:hRule="atLeast"/>
          <w:jc w:val="center"/>
        </w:trPr>
        <w:tc>
          <w:tcPr>
            <w:tcW w:w="1146" w:type="dxa"/>
            <w:vMerge w:val="continue"/>
            <w:vAlign w:val="center"/>
          </w:tcPr>
          <w:p w14:paraId="4B28D8BF">
            <w:pPr>
              <w:widowControl/>
              <w:rPr>
                <w:rFonts w:ascii="宋体" w:hAnsi="宋体" w:cs="宋体"/>
                <w:kern w:val="0"/>
                <w:sz w:val="24"/>
                <w:szCs w:val="24"/>
              </w:rPr>
            </w:pPr>
          </w:p>
        </w:tc>
        <w:tc>
          <w:tcPr>
            <w:tcW w:w="1118" w:type="dxa"/>
            <w:vAlign w:val="center"/>
          </w:tcPr>
          <w:p w14:paraId="5D392521">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运维服务方案</w:t>
            </w:r>
          </w:p>
        </w:tc>
        <w:tc>
          <w:tcPr>
            <w:tcW w:w="617" w:type="dxa"/>
            <w:vAlign w:val="center"/>
          </w:tcPr>
          <w:p w14:paraId="0A59C6ED">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w:t>
            </w:r>
          </w:p>
        </w:tc>
        <w:tc>
          <w:tcPr>
            <w:tcW w:w="6417" w:type="dxa"/>
            <w:vAlign w:val="center"/>
          </w:tcPr>
          <w:p w14:paraId="058AF634"/>
          <w:p w14:paraId="1A9C2569">
            <w:pPr>
              <w:ind w:right="21"/>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提供免费技术培训服务，培训计划详细，科学合理，保证培训人员尽快适应设备的运行和维修且必须提供详细的培训计划。</w:t>
            </w:r>
          </w:p>
          <w:p w14:paraId="56CE4595">
            <w:pPr>
              <w:ind w:right="21"/>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方案合理、完整、科学、可行得</w:t>
            </w:r>
            <w:r>
              <w:rPr>
                <w:rFonts w:ascii="宋体" w:hAnsi="宋体" w:cs="宋体"/>
                <w:color w:val="000000" w:themeColor="text1"/>
                <w:kern w:val="0"/>
                <w:sz w:val="22"/>
                <w14:textFill>
                  <w14:solidFill>
                    <w14:schemeClr w14:val="tx1"/>
                  </w14:solidFill>
                </w14:textFill>
              </w:rPr>
              <w:t>10-7分；方案在合理性、完整性、科学性、可行性方面一般，得6-3分；方案在合理性、完整性、科学</w:t>
            </w:r>
          </w:p>
          <w:p w14:paraId="06240AA8">
            <w:pPr>
              <w:jc w:val="left"/>
              <w:rPr>
                <w:color w:val="000000" w:themeColor="text1"/>
                <w:sz w:val="22"/>
                <w14:textFill>
                  <w14:solidFill>
                    <w14:schemeClr w14:val="tx1"/>
                  </w14:solidFill>
                </w14:textFill>
              </w:rPr>
            </w:pPr>
          </w:p>
        </w:tc>
      </w:tr>
      <w:tr w14:paraId="3683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46" w:hRule="atLeast"/>
          <w:jc w:val="center"/>
        </w:trPr>
        <w:tc>
          <w:tcPr>
            <w:tcW w:w="1146" w:type="dxa"/>
            <w:vMerge w:val="restart"/>
            <w:vAlign w:val="center"/>
          </w:tcPr>
          <w:p w14:paraId="428A77AD">
            <w:pPr>
              <w:widowControl/>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商务部分</w:t>
            </w:r>
          </w:p>
          <w:p w14:paraId="4F5E234C">
            <w:pPr>
              <w:widowControl/>
              <w:jc w:val="left"/>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（40分）</w:t>
            </w:r>
          </w:p>
        </w:tc>
        <w:tc>
          <w:tcPr>
            <w:tcW w:w="1118" w:type="dxa"/>
            <w:vAlign w:val="center"/>
          </w:tcPr>
          <w:p w14:paraId="6735AF60">
            <w:pPr>
              <w:widowControl/>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企业业绩</w:t>
            </w:r>
          </w:p>
        </w:tc>
        <w:tc>
          <w:tcPr>
            <w:tcW w:w="617" w:type="dxa"/>
            <w:vAlign w:val="center"/>
          </w:tcPr>
          <w:p w14:paraId="45BBA581">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w:t>
            </w:r>
          </w:p>
        </w:tc>
        <w:tc>
          <w:tcPr>
            <w:tcW w:w="6417" w:type="dxa"/>
            <w:vAlign w:val="center"/>
          </w:tcPr>
          <w:p w14:paraId="792CAC38">
            <w:pPr>
              <w:widowControl/>
              <w:jc w:val="left"/>
              <w:rPr>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投标人必须提供近三年以来（</w:t>
            </w:r>
            <w:r>
              <w:rPr>
                <w:rFonts w:ascii="宋体" w:hAnsi="宋体" w:cs="宋体"/>
                <w:color w:val="000000" w:themeColor="text1"/>
                <w:sz w:val="22"/>
                <w14:textFill>
                  <w14:solidFill>
                    <w14:schemeClr w14:val="tx1"/>
                  </w14:solidFill>
                </w14:textFill>
              </w:rPr>
              <w:t>2022年1月至</w:t>
            </w:r>
            <w:r>
              <w:rPr>
                <w:rFonts w:hint="eastAsia" w:ascii="宋体" w:hAnsi="宋体" w:cs="宋体"/>
                <w:color w:val="000000" w:themeColor="text1"/>
                <w:sz w:val="22"/>
                <w14:textFill>
                  <w14:solidFill>
                    <w14:schemeClr w14:val="tx1"/>
                  </w14:solidFill>
                </w14:textFill>
              </w:rPr>
              <w:t>今）的供热信息化平台项目相关业绩。提供一项得</w:t>
            </w:r>
            <w:r>
              <w:rPr>
                <w:rFonts w:ascii="宋体" w:hAnsi="宋体" w:cs="宋体"/>
                <w:color w:val="000000" w:themeColor="text1"/>
                <w:sz w:val="22"/>
                <w14:textFill>
                  <w14:solidFill>
                    <w14:schemeClr w14:val="tx1"/>
                  </w14:solidFill>
                </w14:textFill>
              </w:rPr>
              <w:t>2分，</w:t>
            </w:r>
            <w:r>
              <w:rPr>
                <w:rFonts w:hint="eastAsia" w:ascii="宋体" w:hAnsi="宋体"/>
                <w:sz w:val="22"/>
                <w:lang w:val="zh-CN"/>
              </w:rPr>
              <w:t>本项最多得</w:t>
            </w:r>
            <w:r>
              <w:rPr>
                <w:rFonts w:ascii="宋体" w:hAnsi="宋体" w:cs="宋体"/>
                <w:color w:val="000000" w:themeColor="text1"/>
                <w:sz w:val="22"/>
                <w14:textFill>
                  <w14:solidFill>
                    <w14:schemeClr w14:val="tx1"/>
                  </w14:solidFill>
                </w14:textFill>
              </w:rPr>
              <w:t>10</w:t>
            </w:r>
            <w:r>
              <w:rPr>
                <w:rFonts w:hint="eastAsia" w:ascii="宋体" w:hAnsi="宋体" w:cs="宋体"/>
                <w:color w:val="000000" w:themeColor="text1"/>
                <w:sz w:val="22"/>
                <w14:textFill>
                  <w14:solidFill>
                    <w14:schemeClr w14:val="tx1"/>
                  </w14:solidFill>
                </w14:textFill>
              </w:rPr>
              <w:t>分。</w:t>
            </w:r>
            <w:r>
              <w:rPr>
                <w:rFonts w:ascii="宋体" w:hAnsi="宋体" w:cs="宋体"/>
                <w:color w:val="000000" w:themeColor="text1"/>
                <w:sz w:val="22"/>
                <w14:textFill>
                  <w14:solidFill>
                    <w14:schemeClr w14:val="tx1"/>
                  </w14:solidFill>
                </w14:textFill>
              </w:rPr>
              <w:t>(业绩证明时间以合同签订时间为准，</w:t>
            </w:r>
            <w:r>
              <w:rPr>
                <w:rFonts w:hint="eastAsia" w:ascii="宋体" w:hAnsi="宋体" w:eastAsia="宋体" w:cs="Times New Roman"/>
                <w:color w:val="000000" w:themeColor="text1"/>
                <w:kern w:val="0"/>
                <w:sz w:val="22"/>
                <w14:textFill>
                  <w14:solidFill>
                    <w14:schemeClr w14:val="tx1"/>
                  </w14:solidFill>
                </w14:textFill>
              </w:rPr>
              <w:t>业绩证明材料须能有效证明项目类型，</w:t>
            </w:r>
            <w:r>
              <w:rPr>
                <w:rFonts w:hint="eastAsia" w:ascii="宋体" w:hAnsi="宋体" w:cs="宋体"/>
                <w:color w:val="000000" w:themeColor="text1"/>
                <w:sz w:val="22"/>
                <w14:textFill>
                  <w14:solidFill>
                    <w14:schemeClr w14:val="tx1"/>
                  </w14:solidFill>
                </w14:textFill>
              </w:rPr>
              <w:t>提供合同或中标通知书扫描件加盖公章</w:t>
            </w:r>
            <w:r>
              <w:rPr>
                <w:rFonts w:ascii="宋体" w:hAnsi="宋体" w:cs="宋体"/>
                <w:color w:val="000000" w:themeColor="text1"/>
                <w:sz w:val="22"/>
                <w14:textFill>
                  <w14:solidFill>
                    <w14:schemeClr w14:val="tx1"/>
                  </w14:solidFill>
                </w14:textFill>
              </w:rPr>
              <w:t>)</w:t>
            </w:r>
          </w:p>
        </w:tc>
      </w:tr>
      <w:tr w14:paraId="2EF1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46" w:hRule="atLeast"/>
          <w:jc w:val="center"/>
        </w:trPr>
        <w:tc>
          <w:tcPr>
            <w:tcW w:w="1146" w:type="dxa"/>
            <w:vMerge w:val="continue"/>
            <w:vAlign w:val="center"/>
          </w:tcPr>
          <w:p w14:paraId="7B3E8040">
            <w:pPr>
              <w:widowControl/>
              <w:rPr>
                <w:rFonts w:ascii="宋体" w:hAnsi="宋体" w:cs="宋体"/>
                <w:color w:val="0000FF"/>
                <w:kern w:val="0"/>
                <w:sz w:val="24"/>
                <w:szCs w:val="24"/>
              </w:rPr>
            </w:pPr>
          </w:p>
        </w:tc>
        <w:tc>
          <w:tcPr>
            <w:tcW w:w="1118" w:type="dxa"/>
            <w:vAlign w:val="center"/>
          </w:tcPr>
          <w:p w14:paraId="3DE90E9A">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相关荣誉</w:t>
            </w:r>
          </w:p>
        </w:tc>
        <w:tc>
          <w:tcPr>
            <w:tcW w:w="617" w:type="dxa"/>
            <w:vAlign w:val="center"/>
          </w:tcPr>
          <w:p w14:paraId="3353807B">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w:t>
            </w:r>
          </w:p>
        </w:tc>
        <w:tc>
          <w:tcPr>
            <w:tcW w:w="6417" w:type="dxa"/>
            <w:vAlign w:val="center"/>
          </w:tcPr>
          <w:p w14:paraId="4DE4CF2E"/>
          <w:p w14:paraId="327BC66B">
            <w:pPr>
              <w:widowControl/>
              <w:jc w:val="left"/>
              <w:rPr>
                <w:rFonts w:ascii="宋体" w:hAnsi="宋体" w:eastAsia="宋体" w:cs="宋体"/>
                <w:kern w:val="0"/>
                <w:sz w:val="22"/>
                <w:lang w:bidi="ar"/>
              </w:rPr>
            </w:pPr>
            <w:r>
              <w:rPr>
                <w:rFonts w:hint="eastAsia" w:ascii="宋体" w:hAnsi="宋体" w:eastAsia="宋体" w:cs="宋体"/>
                <w:kern w:val="0"/>
                <w:sz w:val="22"/>
                <w:lang w:bidi="ar"/>
              </w:rPr>
              <w:t>1</w:t>
            </w:r>
            <w:r>
              <w:rPr>
                <w:rFonts w:ascii="宋体" w:hAnsi="宋体" w:eastAsia="宋体" w:cs="宋体"/>
                <w:kern w:val="0"/>
                <w:sz w:val="22"/>
                <w:lang w:bidi="ar"/>
              </w:rPr>
              <w:t>、拟派项目主要人员具有信息化中高级工程师职称的，每有一人得</w:t>
            </w:r>
            <w:r>
              <w:rPr>
                <w:rFonts w:hint="eastAsia" w:ascii="宋体" w:hAnsi="宋体" w:eastAsia="宋体" w:cs="宋体"/>
                <w:kern w:val="0"/>
                <w:sz w:val="22"/>
                <w:lang w:bidi="ar"/>
              </w:rPr>
              <w:t>1</w:t>
            </w:r>
            <w:r>
              <w:rPr>
                <w:rFonts w:ascii="宋体" w:hAnsi="宋体" w:eastAsia="宋体" w:cs="宋体"/>
                <w:kern w:val="0"/>
                <w:sz w:val="22"/>
                <w:lang w:bidi="ar"/>
              </w:rPr>
              <w:t>分，最多得</w:t>
            </w:r>
            <w:r>
              <w:rPr>
                <w:rFonts w:hint="eastAsia" w:ascii="宋体" w:hAnsi="宋体" w:eastAsia="宋体" w:cs="宋体"/>
                <w:kern w:val="0"/>
                <w:sz w:val="22"/>
                <w:lang w:bidi="ar"/>
              </w:rPr>
              <w:t>2分。</w:t>
            </w:r>
          </w:p>
          <w:p w14:paraId="4B5A5C04"/>
          <w:p w14:paraId="34719B36">
            <w:pPr>
              <w:widowControl/>
              <w:jc w:val="left"/>
              <w:rPr>
                <w:rFonts w:ascii="宋体" w:hAnsi="宋体" w:cs="宋体"/>
                <w:sz w:val="22"/>
              </w:rPr>
            </w:pPr>
            <w:r>
              <w:rPr>
                <w:rFonts w:hint="eastAsia" w:ascii="宋体" w:hAnsi="宋体" w:cs="宋体"/>
                <w:sz w:val="22"/>
              </w:rPr>
              <w:t>2、与本项目相关或数据整合分析、软硬件结合控制类软件著作权证书，提供一项得2</w:t>
            </w:r>
            <w:r>
              <w:rPr>
                <w:rFonts w:ascii="宋体" w:hAnsi="宋体" w:cs="宋体"/>
                <w:sz w:val="22"/>
              </w:rPr>
              <w:t>分，</w:t>
            </w:r>
            <w:r>
              <w:rPr>
                <w:rFonts w:hint="eastAsia" w:ascii="宋体" w:hAnsi="宋体"/>
                <w:sz w:val="22"/>
                <w:lang w:val="zh-CN"/>
              </w:rPr>
              <w:t>本项最多得</w:t>
            </w:r>
            <w:r>
              <w:rPr>
                <w:rFonts w:hint="eastAsia" w:ascii="宋体" w:hAnsi="宋体" w:cs="宋体"/>
                <w:sz w:val="22"/>
              </w:rPr>
              <w:t>4分。。</w:t>
            </w:r>
          </w:p>
          <w:p w14:paraId="03DFC0FC">
            <w:pPr>
              <w:widowControl/>
              <w:jc w:val="left"/>
              <w:rPr>
                <w:rFonts w:ascii="宋体" w:hAnsi="宋体" w:cs="宋体"/>
                <w:sz w:val="22"/>
              </w:rPr>
            </w:pPr>
            <w:r>
              <w:rPr>
                <w:rFonts w:hint="eastAsia" w:ascii="宋体" w:hAnsi="宋体" w:cs="宋体"/>
                <w:sz w:val="22"/>
              </w:rPr>
              <w:t>3、供热信息化平台相关专利，提供一项得</w:t>
            </w:r>
            <w:r>
              <w:rPr>
                <w:rFonts w:ascii="宋体" w:hAnsi="宋体" w:cs="宋体"/>
                <w:sz w:val="22"/>
              </w:rPr>
              <w:t>2分</w:t>
            </w:r>
            <w:r>
              <w:rPr>
                <w:rFonts w:hint="eastAsia" w:ascii="宋体" w:hAnsi="宋体" w:cs="宋体"/>
                <w:sz w:val="22"/>
              </w:rPr>
              <w:t>，</w:t>
            </w:r>
            <w:r>
              <w:rPr>
                <w:rFonts w:hint="eastAsia" w:ascii="宋体" w:hAnsi="宋体"/>
                <w:sz w:val="22"/>
                <w:lang w:val="zh-CN"/>
              </w:rPr>
              <w:t>本项最多得</w:t>
            </w:r>
            <w:r>
              <w:rPr>
                <w:rFonts w:hint="eastAsia" w:ascii="宋体" w:hAnsi="宋体" w:cs="宋体"/>
                <w:sz w:val="22"/>
              </w:rPr>
              <w:t>4分。</w:t>
            </w:r>
          </w:p>
          <w:p w14:paraId="791A342C">
            <w:pPr>
              <w:widowControl/>
              <w:jc w:val="left"/>
              <w:rPr>
                <w:rFonts w:ascii="宋体" w:hAnsi="宋体" w:cs="宋体"/>
                <w:color w:val="000000" w:themeColor="text1"/>
                <w:sz w:val="22"/>
                <w14:textFill>
                  <w14:solidFill>
                    <w14:schemeClr w14:val="tx1"/>
                  </w14:solidFill>
                </w14:textFill>
              </w:rPr>
            </w:pPr>
            <w:r>
              <w:rPr>
                <w:rFonts w:hint="eastAsia" w:ascii="宋体" w:hAnsi="宋体" w:cs="宋体"/>
                <w:sz w:val="22"/>
              </w:rPr>
              <w:t>（提供相关资质证书复印件并加盖公章）</w:t>
            </w:r>
          </w:p>
        </w:tc>
      </w:tr>
      <w:tr w14:paraId="78DD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98" w:hRule="atLeast"/>
          <w:jc w:val="center"/>
        </w:trPr>
        <w:tc>
          <w:tcPr>
            <w:tcW w:w="1146" w:type="dxa"/>
            <w:vMerge w:val="continue"/>
            <w:vAlign w:val="center"/>
          </w:tcPr>
          <w:p w14:paraId="5047805D">
            <w:pPr>
              <w:widowControl/>
              <w:jc w:val="center"/>
              <w:textAlignment w:val="center"/>
              <w:rPr>
                <w:rFonts w:ascii="宋体" w:hAnsi="宋体" w:eastAsia="宋体" w:cs="宋体"/>
                <w:color w:val="000000"/>
                <w:sz w:val="24"/>
                <w:szCs w:val="24"/>
              </w:rPr>
            </w:pPr>
          </w:p>
        </w:tc>
        <w:tc>
          <w:tcPr>
            <w:tcW w:w="1118" w:type="dxa"/>
            <w:vAlign w:val="center"/>
          </w:tcPr>
          <w:p w14:paraId="16AAE4FA">
            <w:pPr>
              <w:widowControl/>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设备设施资质</w:t>
            </w:r>
          </w:p>
        </w:tc>
        <w:tc>
          <w:tcPr>
            <w:tcW w:w="617" w:type="dxa"/>
            <w:vAlign w:val="center"/>
          </w:tcPr>
          <w:p w14:paraId="7C19AF8C">
            <w:pPr>
              <w:widowControl/>
              <w:jc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w:t>
            </w:r>
          </w:p>
        </w:tc>
        <w:tc>
          <w:tcPr>
            <w:tcW w:w="6417" w:type="dxa"/>
            <w:vAlign w:val="center"/>
          </w:tcPr>
          <w:p w14:paraId="339F9611">
            <w:pPr>
              <w:widowControl/>
              <w:jc w:val="left"/>
              <w:rPr>
                <w:rFonts w:ascii="宋体" w:hAnsi="宋体" w:eastAsia="宋体" w:cs="宋体"/>
                <w:color w:val="000000" w:themeColor="text1"/>
                <w:kern w:val="0"/>
                <w:sz w:val="22"/>
                <w:lang w:bidi="ar"/>
                <w14:textFill>
                  <w14:solidFill>
                    <w14:schemeClr w14:val="tx1"/>
                  </w14:solidFill>
                </w14:textFill>
              </w:rPr>
            </w:pPr>
            <w:r>
              <w:rPr>
                <w:rFonts w:ascii="宋体" w:hAnsi="宋体" w:eastAsia="宋体" w:cs="宋体"/>
                <w:color w:val="000000" w:themeColor="text1"/>
                <w:kern w:val="0"/>
                <w:sz w:val="22"/>
                <w:lang w:bidi="ar"/>
                <w14:textFill>
                  <w14:solidFill>
                    <w14:schemeClr w14:val="tx1"/>
                  </w14:solidFill>
                </w14:textFill>
              </w:rPr>
              <w:t>1</w:t>
            </w:r>
            <w:r>
              <w:rPr>
                <w:rFonts w:hint="eastAsia" w:ascii="宋体" w:hAnsi="宋体" w:eastAsia="宋体" w:cs="宋体"/>
                <w:color w:val="000000" w:themeColor="text1"/>
                <w:kern w:val="0"/>
                <w:sz w:val="22"/>
                <w:lang w:bidi="ar"/>
                <w14:textFill>
                  <w14:solidFill>
                    <w14:schemeClr w14:val="tx1"/>
                  </w14:solidFill>
                </w14:textFill>
              </w:rPr>
              <w:t>、承诺系统设备保修年限。由于质量问题造成的损坏，设备供应商必须在接到买方通知后</w:t>
            </w:r>
            <w:r>
              <w:rPr>
                <w:rFonts w:ascii="宋体" w:hAnsi="宋体" w:eastAsia="宋体" w:cs="宋体"/>
                <w:color w:val="000000" w:themeColor="text1"/>
                <w:kern w:val="0"/>
                <w:sz w:val="22"/>
                <w:lang w:bidi="ar"/>
                <w14:textFill>
                  <w14:solidFill>
                    <w14:schemeClr w14:val="tx1"/>
                  </w14:solidFill>
                </w14:textFill>
              </w:rPr>
              <w:t>2小时内派技术人员到达现场处理，免费维修或更换设备</w:t>
            </w:r>
            <w:r>
              <w:rPr>
                <w:rFonts w:hint="eastAsia" w:ascii="宋体" w:hAnsi="宋体" w:eastAsia="宋体" w:cs="宋体"/>
                <w:color w:val="000000" w:themeColor="text1"/>
                <w:kern w:val="0"/>
                <w:sz w:val="22"/>
                <w:lang w:bidi="ar"/>
                <w14:textFill>
                  <w14:solidFill>
                    <w14:schemeClr w14:val="tx1"/>
                  </w14:solidFill>
                </w14:textFill>
              </w:rPr>
              <w:t>得</w:t>
            </w:r>
            <w:r>
              <w:rPr>
                <w:rFonts w:hint="eastAsia" w:ascii="宋体" w:hAnsi="宋体" w:eastAsia="宋体" w:cs="宋体"/>
                <w:color w:val="000000" w:themeColor="text1"/>
                <w:kern w:val="0"/>
                <w:sz w:val="22"/>
                <w:lang w:val="en-US" w:eastAsia="zh-CN" w:bidi="ar"/>
                <w14:textFill>
                  <w14:solidFill>
                    <w14:schemeClr w14:val="tx1"/>
                  </w14:solidFill>
                </w14:textFill>
              </w:rPr>
              <w:t>6</w:t>
            </w:r>
            <w:r>
              <w:rPr>
                <w:rFonts w:hint="eastAsia" w:ascii="宋体" w:hAnsi="宋体" w:eastAsia="宋体" w:cs="宋体"/>
                <w:color w:val="000000" w:themeColor="text1"/>
                <w:kern w:val="0"/>
                <w:sz w:val="22"/>
                <w:lang w:bidi="ar"/>
                <w14:textFill>
                  <w14:solidFill>
                    <w14:schemeClr w14:val="tx1"/>
                  </w14:solidFill>
                </w14:textFill>
              </w:rPr>
              <w:t>分。</w:t>
            </w:r>
          </w:p>
          <w:p w14:paraId="0A04E3AB">
            <w:r>
              <w:rPr>
                <w:rFonts w:ascii="宋体" w:hAnsi="宋体" w:eastAsia="宋体" w:cs="宋体"/>
                <w:color w:val="000000" w:themeColor="text1"/>
                <w:kern w:val="0"/>
                <w:sz w:val="22"/>
                <w:lang w:bidi="ar"/>
                <w14:textFill>
                  <w14:solidFill>
                    <w14:schemeClr w14:val="tx1"/>
                  </w14:solidFill>
                </w14:textFill>
              </w:rPr>
              <w:t>2</w:t>
            </w:r>
            <w:r>
              <w:rPr>
                <w:rFonts w:hint="eastAsia" w:ascii="宋体" w:hAnsi="宋体" w:eastAsia="宋体" w:cs="宋体"/>
                <w:color w:val="000000" w:themeColor="text1"/>
                <w:kern w:val="0"/>
                <w:sz w:val="22"/>
                <w:lang w:bidi="ar"/>
                <w14:textFill>
                  <w14:solidFill>
                    <w14:schemeClr w14:val="tx1"/>
                  </w14:solidFill>
                </w14:textFill>
              </w:rPr>
              <w:t>、</w:t>
            </w:r>
          </w:p>
          <w:p w14:paraId="7C9A3AF5">
            <w:pPr>
              <w:widowControl/>
              <w:jc w:val="left"/>
              <w:rPr>
                <w:rFonts w:hint="eastAsia"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所有设备及配件必须支持两年以上原厂免费维保，并提供原厂维保承诺文件得</w:t>
            </w:r>
            <w:r>
              <w:rPr>
                <w:rFonts w:hint="eastAsia" w:ascii="宋体" w:hAnsi="宋体" w:eastAsia="宋体" w:cs="宋体"/>
                <w:color w:val="000000" w:themeColor="text1"/>
                <w:kern w:val="0"/>
                <w:sz w:val="22"/>
                <w:lang w:val="en-US" w:eastAsia="zh-CN" w:bidi="ar"/>
                <w14:textFill>
                  <w14:solidFill>
                    <w14:schemeClr w14:val="tx1"/>
                  </w14:solidFill>
                </w14:textFill>
              </w:rPr>
              <w:t>4</w:t>
            </w:r>
            <w:r>
              <w:rPr>
                <w:rFonts w:hint="eastAsia" w:ascii="宋体" w:hAnsi="宋体" w:eastAsia="宋体" w:cs="宋体"/>
                <w:color w:val="000000" w:themeColor="text1"/>
                <w:kern w:val="0"/>
                <w:sz w:val="22"/>
                <w:lang w:bidi="ar"/>
                <w14:textFill>
                  <w14:solidFill>
                    <w14:schemeClr w14:val="tx1"/>
                  </w14:solidFill>
                </w14:textFill>
              </w:rPr>
              <w:t>分。</w:t>
            </w:r>
          </w:p>
          <w:p w14:paraId="14BB27DD">
            <w:pPr>
              <w:widowControl/>
              <w:jc w:val="left"/>
              <w:rPr>
                <w:rFonts w:ascii="宋体" w:hAnsi="宋体" w:eastAsia="宋体" w:cs="宋体"/>
                <w:color w:val="000000" w:themeColor="text1"/>
                <w:kern w:val="0"/>
                <w:sz w:val="22"/>
                <w:lang w:bidi="ar"/>
                <w14:textFill>
                  <w14:solidFill>
                    <w14:schemeClr w14:val="tx1"/>
                  </w14:solidFill>
                </w14:textFill>
              </w:rPr>
            </w:pPr>
            <w:bookmarkStart w:id="0" w:name="OLE_LINK7"/>
            <w:bookmarkStart w:id="1" w:name="OLE_LINK4"/>
            <w:r>
              <w:rPr>
                <w:rFonts w:hint="eastAsia" w:ascii="宋体" w:hAnsi="宋体" w:eastAsia="宋体" w:cs="宋体"/>
                <w:color w:val="000000" w:themeColor="text1"/>
                <w:kern w:val="0"/>
                <w:sz w:val="22"/>
                <w:lang w:bidi="ar"/>
                <w14:textFill>
                  <w14:solidFill>
                    <w14:schemeClr w14:val="tx1"/>
                  </w14:solidFill>
                </w14:textFill>
              </w:rPr>
              <w:t>以上</w:t>
            </w:r>
            <w:r>
              <w:rPr>
                <w:rFonts w:hint="eastAsia" w:ascii="宋体" w:hAnsi="宋体" w:eastAsia="宋体" w:cs="宋体"/>
                <w:color w:val="000000" w:themeColor="text1"/>
                <w:kern w:val="0"/>
                <w:sz w:val="22"/>
                <w:lang w:val="en-US" w:eastAsia="zh-CN" w:bidi="ar"/>
                <w14:textFill>
                  <w14:solidFill>
                    <w14:schemeClr w14:val="tx1"/>
                  </w14:solidFill>
                </w14:textFill>
              </w:rPr>
              <w:t>2</w:t>
            </w:r>
            <w:r>
              <w:rPr>
                <w:rFonts w:hint="eastAsia" w:ascii="宋体" w:hAnsi="宋体" w:eastAsia="宋体" w:cs="宋体"/>
                <w:color w:val="000000" w:themeColor="text1"/>
                <w:kern w:val="0"/>
                <w:sz w:val="22"/>
                <w:lang w:bidi="ar"/>
                <w14:textFill>
                  <w14:solidFill>
                    <w14:schemeClr w14:val="tx1"/>
                  </w14:solidFill>
                </w14:textFill>
              </w:rPr>
              <w:t>条内容均需提供服务承诺书，承诺函格式自拟否则不得分。</w:t>
            </w:r>
            <w:bookmarkEnd w:id="0"/>
            <w:bookmarkEnd w:id="1"/>
          </w:p>
        </w:tc>
      </w:tr>
      <w:tr w14:paraId="50FD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88" w:hRule="atLeast"/>
          <w:jc w:val="center"/>
        </w:trPr>
        <w:tc>
          <w:tcPr>
            <w:tcW w:w="1146" w:type="dxa"/>
            <w:vMerge w:val="continue"/>
            <w:vAlign w:val="center"/>
          </w:tcPr>
          <w:p w14:paraId="38B21C70">
            <w:pPr>
              <w:widowControl/>
              <w:jc w:val="center"/>
              <w:textAlignment w:val="center"/>
              <w:rPr>
                <w:rFonts w:ascii="宋体" w:hAnsi="宋体" w:eastAsia="宋体" w:cs="宋体"/>
                <w:color w:val="000000"/>
                <w:sz w:val="24"/>
                <w:szCs w:val="24"/>
              </w:rPr>
            </w:pPr>
          </w:p>
        </w:tc>
        <w:tc>
          <w:tcPr>
            <w:tcW w:w="1118" w:type="dxa"/>
            <w:vAlign w:val="center"/>
          </w:tcPr>
          <w:p w14:paraId="79A3AF81">
            <w:pPr>
              <w:widowControl/>
              <w:jc w:val="center"/>
              <w:textAlignment w:val="center"/>
              <w:rPr>
                <w:rFonts w:ascii="宋体" w:hAnsi="宋体" w:eastAsia="宋体" w:cs="宋体"/>
                <w:sz w:val="24"/>
                <w:szCs w:val="24"/>
              </w:rPr>
            </w:pPr>
            <w:r>
              <w:rPr>
                <w:rFonts w:hint="eastAsia" w:ascii="宋体" w:hAnsi="宋体" w:eastAsia="宋体" w:cs="宋体"/>
                <w:sz w:val="24"/>
                <w:szCs w:val="24"/>
              </w:rPr>
              <w:t>服务承诺</w:t>
            </w:r>
          </w:p>
        </w:tc>
        <w:tc>
          <w:tcPr>
            <w:tcW w:w="617" w:type="dxa"/>
            <w:vAlign w:val="center"/>
          </w:tcPr>
          <w:p w14:paraId="464D0A09">
            <w:pPr>
              <w:widowControl/>
              <w:jc w:val="center"/>
              <w:textAlignment w:val="center"/>
              <w:rPr>
                <w:rFonts w:ascii="宋体" w:hAnsi="宋体" w:eastAsia="宋体" w:cs="宋体"/>
                <w:sz w:val="24"/>
                <w:szCs w:val="24"/>
              </w:rPr>
            </w:pPr>
            <w:r>
              <w:rPr>
                <w:rFonts w:ascii="宋体" w:hAnsi="宋体" w:eastAsia="宋体" w:cs="宋体"/>
                <w:sz w:val="24"/>
                <w:szCs w:val="24"/>
              </w:rPr>
              <w:t>10</w:t>
            </w:r>
          </w:p>
        </w:tc>
        <w:tc>
          <w:tcPr>
            <w:tcW w:w="6417" w:type="dxa"/>
            <w:vAlign w:val="center"/>
          </w:tcPr>
          <w:p w14:paraId="612BEDEE">
            <w:pPr>
              <w:spacing w:line="300" w:lineRule="exact"/>
              <w:jc w:val="left"/>
              <w:rPr>
                <w:rFonts w:ascii="宋体" w:hAnsi="宋体" w:eastAsia="宋体" w:cs="宋体"/>
                <w:sz w:val="22"/>
                <w:lang w:bidi="zh-CN"/>
              </w:rPr>
            </w:pPr>
            <w:r>
              <w:rPr>
                <w:rFonts w:ascii="宋体" w:hAnsi="宋体" w:eastAsia="宋体" w:cs="宋体"/>
                <w:sz w:val="22"/>
                <w:lang w:bidi="zh-CN"/>
              </w:rPr>
              <w:t>1）投标人承诺中标后</w:t>
            </w:r>
            <w:r>
              <w:rPr>
                <w:rFonts w:hint="eastAsia" w:ascii="宋体" w:hAnsi="宋体" w:eastAsia="宋体" w:cs="宋体"/>
                <w:sz w:val="22"/>
                <w:lang w:bidi="zh-CN"/>
              </w:rPr>
              <w:t>有设立售后服务部门，有固定的常驻售后技术服务人员，能为用户免费提供长期不间断服务。能提供相关证明的得</w:t>
            </w:r>
            <w:r>
              <w:rPr>
                <w:rFonts w:ascii="宋体" w:hAnsi="宋体" w:eastAsia="宋体" w:cs="宋体"/>
                <w:sz w:val="22"/>
                <w:lang w:bidi="zh-CN"/>
              </w:rPr>
              <w:t>5</w:t>
            </w:r>
            <w:r>
              <w:rPr>
                <w:rFonts w:hint="eastAsia" w:ascii="宋体" w:hAnsi="宋体" w:eastAsia="宋体" w:cs="宋体"/>
                <w:sz w:val="22"/>
                <w:lang w:bidi="zh-CN"/>
              </w:rPr>
              <w:t>分，无证明的得</w:t>
            </w:r>
            <w:r>
              <w:rPr>
                <w:rFonts w:ascii="宋体" w:hAnsi="宋体" w:eastAsia="宋体" w:cs="宋体"/>
                <w:sz w:val="22"/>
                <w:lang w:bidi="zh-CN"/>
              </w:rPr>
              <w:t>0分；（</w:t>
            </w:r>
            <w:r>
              <w:rPr>
                <w:rFonts w:hint="eastAsia" w:ascii="宋体" w:hAnsi="宋体" w:eastAsia="宋体" w:cs="宋体"/>
                <w:b/>
                <w:bCs/>
                <w:sz w:val="22"/>
                <w:lang w:bidi="zh-CN"/>
              </w:rPr>
              <w:t>提供承诺函；提供常驻人员清单</w:t>
            </w:r>
            <w:r>
              <w:rPr>
                <w:rFonts w:hint="eastAsia" w:ascii="宋体" w:hAnsi="宋体" w:eastAsia="宋体" w:cs="宋体"/>
                <w:sz w:val="22"/>
                <w:lang w:bidi="zh-CN"/>
              </w:rPr>
              <w:t>）</w:t>
            </w:r>
          </w:p>
          <w:p w14:paraId="7D96B3AF">
            <w:pPr>
              <w:pStyle w:val="2"/>
              <w:ind w:left="0" w:leftChars="0"/>
              <w:rPr>
                <w:rFonts w:hint="eastAsia" w:ascii="宋体" w:hAnsi="宋体" w:eastAsia="宋体" w:cs="宋体"/>
                <w:sz w:val="22"/>
                <w:szCs w:val="22"/>
                <w:lang w:bidi="zh-CN"/>
              </w:rPr>
            </w:pPr>
            <w:r>
              <w:rPr>
                <w:rFonts w:ascii="宋体" w:hAnsi="宋体" w:eastAsia="宋体" w:cs="宋体"/>
                <w:sz w:val="22"/>
                <w:szCs w:val="22"/>
                <w:lang w:bidi="zh-CN"/>
              </w:rPr>
              <w:t>2）售后服务承诺，回访、质保期维修保养计划、响应及解决问题</w:t>
            </w:r>
            <w:r>
              <w:rPr>
                <w:rFonts w:hint="eastAsia" w:ascii="宋体" w:hAnsi="宋体" w:eastAsia="宋体" w:cs="宋体"/>
                <w:sz w:val="22"/>
                <w:szCs w:val="22"/>
                <w:lang w:bidi="zh-CN"/>
              </w:rPr>
              <w:t>，按服务承诺综合评分。优得</w:t>
            </w:r>
            <w:r>
              <w:rPr>
                <w:rFonts w:ascii="宋体" w:hAnsi="宋体" w:eastAsia="宋体" w:cs="宋体"/>
                <w:sz w:val="22"/>
                <w:szCs w:val="22"/>
                <w:lang w:bidi="zh-CN"/>
              </w:rPr>
              <w:t xml:space="preserve"> 5</w:t>
            </w:r>
            <w:r>
              <w:rPr>
                <w:rFonts w:hint="eastAsia" w:ascii="宋体" w:hAnsi="宋体" w:eastAsia="宋体" w:cs="宋体"/>
                <w:sz w:val="22"/>
                <w:szCs w:val="22"/>
                <w:lang w:bidi="zh-CN"/>
              </w:rPr>
              <w:t>分，良得</w:t>
            </w:r>
            <w:r>
              <w:rPr>
                <w:rFonts w:ascii="宋体" w:hAnsi="宋体" w:eastAsia="宋体" w:cs="宋体"/>
                <w:sz w:val="22"/>
                <w:szCs w:val="22"/>
                <w:lang w:bidi="zh-CN"/>
              </w:rPr>
              <w:t>3 分，一般得0分。</w:t>
            </w:r>
          </w:p>
          <w:p w14:paraId="09332EDD">
            <w:pPr>
              <w:ind w:left="0" w:leftChars="0"/>
              <w:rPr>
                <w:sz w:val="22"/>
                <w:szCs w:val="22"/>
                <w:lang w:bidi="zh-CN"/>
              </w:rPr>
            </w:pPr>
            <w:r>
              <w:rPr>
                <w:rFonts w:hint="eastAsia" w:ascii="宋体" w:hAnsi="宋体" w:eastAsia="宋体" w:cs="宋体"/>
                <w:color w:val="000000" w:themeColor="text1"/>
                <w:kern w:val="0"/>
                <w:sz w:val="22"/>
                <w:lang w:bidi="ar"/>
                <w14:textFill>
                  <w14:solidFill>
                    <w14:schemeClr w14:val="tx1"/>
                  </w14:solidFill>
                </w14:textFill>
              </w:rPr>
              <w:t>以上2条内容均需提供服务承诺书，承诺函格式自拟否则不得分。</w:t>
            </w:r>
          </w:p>
        </w:tc>
      </w:tr>
      <w:tr w14:paraId="6C6D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76" w:hRule="atLeast"/>
          <w:jc w:val="center"/>
        </w:trPr>
        <w:tc>
          <w:tcPr>
            <w:tcW w:w="1146" w:type="dxa"/>
            <w:vAlign w:val="center"/>
          </w:tcPr>
          <w:p w14:paraId="0B86E704">
            <w:pPr>
              <w:widowControl/>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投标报价</w:t>
            </w:r>
          </w:p>
          <w:p w14:paraId="509DCE46">
            <w:pPr>
              <w:widowControl/>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（30分）</w:t>
            </w:r>
          </w:p>
        </w:tc>
        <w:tc>
          <w:tcPr>
            <w:tcW w:w="1118" w:type="dxa"/>
            <w:vAlign w:val="center"/>
          </w:tcPr>
          <w:p w14:paraId="4EE29BED">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tc>
        <w:tc>
          <w:tcPr>
            <w:tcW w:w="617" w:type="dxa"/>
            <w:vAlign w:val="center"/>
          </w:tcPr>
          <w:p w14:paraId="060E1C92">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w:t>
            </w:r>
          </w:p>
        </w:tc>
        <w:tc>
          <w:tcPr>
            <w:tcW w:w="6417" w:type="dxa"/>
            <w:vAlign w:val="center"/>
          </w:tcPr>
          <w:p w14:paraId="5573ECA0">
            <w:pPr>
              <w:widowControl/>
              <w:jc w:val="left"/>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评标基准价为参与评审的合格投标单位（不小于五家）的报价中去掉一个最高和一个最低报价后的算术平均值为评标基准价。若有效投标报价少于五家（不含五家）时，则以所有有效投标报价的算术平均值为评标基准价。</w:t>
            </w:r>
          </w:p>
          <w:p w14:paraId="374FC3D4"/>
          <w:p w14:paraId="49BD100E">
            <w:pPr>
              <w:widowControl/>
              <w:numPr>
                <w:ilvl w:val="-1"/>
                <w:numId w:val="0"/>
              </w:numPr>
              <w:spacing w:line="300" w:lineRule="exact"/>
              <w:textAlignment w:val="baseline"/>
              <w:rPr>
                <w:sz w:val="22"/>
                <w:highlight w:val="none"/>
              </w:rPr>
            </w:pPr>
            <w:r>
              <w:rPr>
                <w:rFonts w:hint="eastAsia"/>
                <w:sz w:val="22"/>
                <w:highlight w:val="none"/>
              </w:rPr>
              <w:t>各有效投标报价得分以评标价为基准进行比较：</w:t>
            </w:r>
          </w:p>
          <w:p w14:paraId="22DE338A">
            <w:pPr>
              <w:widowControl/>
              <w:numPr>
                <w:ilvl w:val="0"/>
                <w:numId w:val="1"/>
              </w:numPr>
              <w:spacing w:line="300" w:lineRule="exact"/>
              <w:textAlignment w:val="baseline"/>
              <w:rPr>
                <w:sz w:val="22"/>
                <w:highlight w:val="none"/>
              </w:rPr>
            </w:pPr>
            <w:r>
              <w:rPr>
                <w:rFonts w:hint="eastAsia"/>
                <w:sz w:val="22"/>
                <w:highlight w:val="none"/>
              </w:rPr>
              <w:t>每高于评标基准价1%的扣0.75分，最多扣</w:t>
            </w:r>
            <w:r>
              <w:rPr>
                <w:rFonts w:hint="eastAsia"/>
                <w:sz w:val="22"/>
                <w:highlight w:val="none"/>
                <w:lang w:eastAsia="zh-CN"/>
              </w:rPr>
              <w:t>3</w:t>
            </w:r>
            <w:r>
              <w:rPr>
                <w:rFonts w:hint="eastAsia"/>
                <w:sz w:val="22"/>
                <w:highlight w:val="none"/>
                <w:lang w:val="en-US" w:eastAsia="zh-CN"/>
              </w:rPr>
              <w:t>0</w:t>
            </w:r>
            <w:r>
              <w:rPr>
                <w:rFonts w:hint="eastAsia"/>
                <w:sz w:val="22"/>
                <w:highlight w:val="none"/>
              </w:rPr>
              <w:t>分。计算公式为：</w:t>
            </w:r>
          </w:p>
          <w:p w14:paraId="0AF62A38">
            <w:pPr>
              <w:widowControl/>
              <w:spacing w:line="300" w:lineRule="exact"/>
              <w:textAlignment w:val="baseline"/>
              <w:rPr>
                <w:sz w:val="22"/>
                <w:highlight w:val="none"/>
              </w:rPr>
            </w:pPr>
            <w:r>
              <w:rPr>
                <w:rFonts w:hint="eastAsia"/>
                <w:sz w:val="22"/>
                <w:highlight w:val="none"/>
              </w:rPr>
              <w:t xml:space="preserve">   </w:t>
            </w:r>
            <w:r>
              <w:rPr>
                <w:rFonts w:hint="eastAsia"/>
                <w:sz w:val="22"/>
                <w:highlight w:val="none"/>
                <w:lang w:val="en-US" w:eastAsia="zh-CN"/>
              </w:rPr>
              <w:t>投标报价</w:t>
            </w:r>
            <w:r>
              <w:rPr>
                <w:rFonts w:hint="eastAsia"/>
                <w:sz w:val="22"/>
                <w:highlight w:val="none"/>
              </w:rPr>
              <w:t>得分=</w:t>
            </w:r>
            <w:r>
              <w:rPr>
                <w:rFonts w:hint="eastAsia"/>
                <w:sz w:val="22"/>
                <w:highlight w:val="none"/>
                <w:lang w:eastAsia="zh-CN"/>
              </w:rPr>
              <w:t>3</w:t>
            </w:r>
            <w:r>
              <w:rPr>
                <w:rFonts w:hint="eastAsia"/>
                <w:sz w:val="22"/>
                <w:highlight w:val="none"/>
                <w:lang w:val="en-US" w:eastAsia="zh-CN"/>
              </w:rPr>
              <w:t>0</w:t>
            </w:r>
            <w:r>
              <w:rPr>
                <w:rFonts w:hint="eastAsia"/>
                <w:sz w:val="22"/>
                <w:highlight w:val="none"/>
              </w:rPr>
              <w:t>-【（投标报价-评标价）/评标价】</w:t>
            </w:r>
            <w:r>
              <w:rPr>
                <w:sz w:val="22"/>
                <w:highlight w:val="none"/>
              </w:rPr>
              <w:t>×100×0.75</w:t>
            </w:r>
            <w:r>
              <w:rPr>
                <w:rFonts w:hint="eastAsia"/>
                <w:sz w:val="22"/>
                <w:highlight w:val="none"/>
              </w:rPr>
              <w:t>；</w:t>
            </w:r>
          </w:p>
          <w:p w14:paraId="174C1DAD">
            <w:pPr>
              <w:widowControl/>
              <w:numPr>
                <w:ilvl w:val="0"/>
                <w:numId w:val="1"/>
              </w:numPr>
              <w:spacing w:line="300" w:lineRule="exact"/>
              <w:textAlignment w:val="baseline"/>
              <w:rPr>
                <w:sz w:val="22"/>
                <w:highlight w:val="none"/>
              </w:rPr>
            </w:pPr>
            <w:r>
              <w:rPr>
                <w:rFonts w:hint="eastAsia"/>
                <w:sz w:val="22"/>
                <w:highlight w:val="none"/>
              </w:rPr>
              <w:t>每低于评标价1%的扣0.5分，最多扣</w:t>
            </w:r>
            <w:r>
              <w:rPr>
                <w:rFonts w:hint="eastAsia"/>
                <w:sz w:val="22"/>
                <w:highlight w:val="none"/>
                <w:lang w:eastAsia="zh-CN"/>
              </w:rPr>
              <w:t>3</w:t>
            </w:r>
            <w:r>
              <w:rPr>
                <w:rFonts w:hint="eastAsia"/>
                <w:sz w:val="22"/>
                <w:highlight w:val="none"/>
                <w:lang w:val="en-US" w:eastAsia="zh-CN"/>
              </w:rPr>
              <w:t>0</w:t>
            </w:r>
            <w:r>
              <w:rPr>
                <w:rFonts w:hint="eastAsia"/>
                <w:sz w:val="22"/>
                <w:highlight w:val="none"/>
              </w:rPr>
              <w:t>分.计算公式为：</w:t>
            </w:r>
          </w:p>
          <w:p w14:paraId="36CCCED1">
            <w:pPr>
              <w:widowControl/>
              <w:jc w:val="left"/>
              <w:rPr>
                <w:rFonts w:ascii="宋体" w:hAnsi="宋体" w:eastAsia="宋体" w:cs="宋体"/>
                <w:color w:val="000000" w:themeColor="text1"/>
                <w:sz w:val="22"/>
                <w14:textFill>
                  <w14:solidFill>
                    <w14:schemeClr w14:val="tx1"/>
                  </w14:solidFill>
                </w14:textFill>
              </w:rPr>
            </w:pPr>
            <w:r>
              <w:rPr>
                <w:rFonts w:hint="eastAsia"/>
                <w:sz w:val="22"/>
                <w:highlight w:val="none"/>
              </w:rPr>
              <w:t xml:space="preserve">   </w:t>
            </w:r>
            <w:r>
              <w:rPr>
                <w:rFonts w:hint="eastAsia"/>
                <w:sz w:val="22"/>
                <w:highlight w:val="none"/>
                <w:lang w:val="en-US" w:eastAsia="zh-CN"/>
              </w:rPr>
              <w:t>投标报价</w:t>
            </w:r>
            <w:r>
              <w:rPr>
                <w:rFonts w:hint="eastAsia"/>
                <w:sz w:val="22"/>
                <w:highlight w:val="none"/>
              </w:rPr>
              <w:t>得分=</w:t>
            </w:r>
            <w:r>
              <w:rPr>
                <w:rFonts w:hint="eastAsia"/>
                <w:sz w:val="22"/>
                <w:highlight w:val="none"/>
                <w:lang w:eastAsia="zh-CN"/>
              </w:rPr>
              <w:t>3</w:t>
            </w:r>
            <w:r>
              <w:rPr>
                <w:rFonts w:hint="eastAsia"/>
                <w:sz w:val="22"/>
                <w:highlight w:val="none"/>
                <w:lang w:val="en-US" w:eastAsia="zh-CN"/>
              </w:rPr>
              <w:t>0</w:t>
            </w:r>
            <w:r>
              <w:rPr>
                <w:rFonts w:hint="eastAsia"/>
                <w:sz w:val="22"/>
                <w:highlight w:val="none"/>
              </w:rPr>
              <w:t>-【（评标价-投标报价）/评标价】</w:t>
            </w:r>
            <w:r>
              <w:rPr>
                <w:sz w:val="22"/>
                <w:highlight w:val="none"/>
              </w:rPr>
              <w:t>×100×0.5</w:t>
            </w:r>
            <w:r>
              <w:rPr>
                <w:rFonts w:hint="eastAsia"/>
                <w:sz w:val="22"/>
                <w:highlight w:val="none"/>
              </w:rPr>
              <w:t>。</w:t>
            </w:r>
          </w:p>
        </w:tc>
      </w:tr>
    </w:tbl>
    <w:p w14:paraId="1FEEB007"/>
    <w:p w14:paraId="4E84CC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6B8A9"/>
    <w:multiLevelType w:val="singleLevel"/>
    <w:tmpl w:val="2416B8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A4CC5"/>
    <w:rsid w:val="1E1A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2025-03-27T01:38:00Z</dcterms:created>
  <dc:creator>Min敏</dc:creator>
  <cp:lastModifiedBy>Min敏</cp:lastModifiedBy>
  <dcterms:modified xsi:type="dcterms:W3CDTF">2025-03-27T01:46:35Z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BA6912C156DC440CB25B4E386C9364D5_11</vt:lpwstr>
  </property>
  <property fmtid="{D5CDD505-2E9C-101B-9397-08002B2CF9AE}" pid="4" name="KSOTemplateDocerSaveRecord">
    <vt:lpwstr>eyJoZGlkIjoiNGNjM2ExZGRjNjBjYjJlYzc1NDI4NjdhYjExYjUxMDYiLCJ1c2VySWQiOiI0NDE3MTQwODYifQ==</vt:lpwstr>
  </property>
</Properties>
</file>