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firstLine="3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附表1：</w:t>
      </w:r>
      <w:bookmarkStart w:id="0" w:name="_GoBack"/>
      <w:bookmarkEnd w:id="0"/>
    </w:p>
    <w:p>
      <w:pPr>
        <w:pStyle w:val="3"/>
        <w:spacing w:line="500" w:lineRule="exact"/>
        <w:ind w:firstLine="32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</w:t>
      </w:r>
      <w:r>
        <w:rPr>
          <w:rFonts w:hint="eastAsia" w:ascii="宋体" w:hAnsi="宋体" w:eastAsia="宋体" w:cs="宋体"/>
          <w:sz w:val="28"/>
          <w:szCs w:val="28"/>
        </w:rPr>
        <w:t>评分表</w:t>
      </w:r>
    </w:p>
    <w:tbl>
      <w:tblPr>
        <w:tblStyle w:val="8"/>
        <w:tblW w:w="9420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5"/>
        <w:gridCol w:w="767"/>
        <w:gridCol w:w="5483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评审项目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项目</w:t>
            </w:r>
          </w:p>
        </w:tc>
        <w:tc>
          <w:tcPr>
            <w:tcW w:w="767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分数</w:t>
            </w:r>
          </w:p>
        </w:tc>
        <w:tc>
          <w:tcPr>
            <w:tcW w:w="5483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评审内容</w:t>
            </w:r>
          </w:p>
        </w:tc>
        <w:tc>
          <w:tcPr>
            <w:tcW w:w="619" w:type="dxa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价格部分</w:t>
            </w:r>
          </w:p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投标报价</w:t>
            </w:r>
          </w:p>
        </w:tc>
        <w:tc>
          <w:tcPr>
            <w:tcW w:w="767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w w:val="90"/>
                <w:sz w:val="28"/>
                <w:szCs w:val="28"/>
              </w:rPr>
              <w:t>0</w:t>
            </w:r>
          </w:p>
        </w:tc>
        <w:tc>
          <w:tcPr>
            <w:tcW w:w="5483" w:type="dxa"/>
            <w:vAlign w:val="center"/>
          </w:tcPr>
          <w:p>
            <w:pPr>
              <w:numPr>
                <w:ilvl w:val="0"/>
                <w:numId w:val="1"/>
              </w:numPr>
              <w:spacing w:line="5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基准价计算：</w:t>
            </w:r>
          </w:p>
          <w:p>
            <w:pPr>
              <w:spacing w:line="5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基准价为各有效投标报价中去掉最高和最低报价后的算术平均值。若有效投标报价少于五家（不含五家）时，则以所有有效投标报价的算术平均值为基准价。</w:t>
            </w:r>
          </w:p>
          <w:p>
            <w:pPr>
              <w:spacing w:line="5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2、投标报价计算：</w:t>
            </w:r>
          </w:p>
          <w:p>
            <w:pPr>
              <w:spacing w:line="5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2.1以基准价（Pa）为基准，投标报价每高于基准价（Pa）1%扣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分，低于基准价（Pa）1%扣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分。</w:t>
            </w:r>
          </w:p>
          <w:p>
            <w:pPr>
              <w:spacing w:line="5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2.2报价得分=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0－(│Pa－q│/Pa)×100×Ka</w:t>
            </w:r>
          </w:p>
          <w:p>
            <w:pPr>
              <w:spacing w:line="5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其中：—Pa为基准价；—q为投标报价；—Ka取值为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或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计算按四舍五入方式，保留小数点后两位。</w:t>
            </w:r>
          </w:p>
        </w:tc>
        <w:tc>
          <w:tcPr>
            <w:tcW w:w="619" w:type="dxa"/>
            <w:vAlign w:val="top"/>
          </w:tcPr>
          <w:p>
            <w:pPr>
              <w:widowControl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76" w:type="dxa"/>
            <w:vMerge w:val="restar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0"/>
                <w:sz w:val="28"/>
                <w:szCs w:val="28"/>
              </w:rPr>
              <w:t>综合部分</w:t>
            </w:r>
          </w:p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w w:val="90"/>
                <w:sz w:val="28"/>
                <w:szCs w:val="28"/>
              </w:rPr>
              <w:t>0分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投标人业绩</w:t>
            </w:r>
          </w:p>
        </w:tc>
        <w:tc>
          <w:tcPr>
            <w:tcW w:w="767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483" w:type="dxa"/>
            <w:vAlign w:val="center"/>
          </w:tcPr>
          <w:p>
            <w:pPr>
              <w:spacing w:line="500" w:lineRule="exact"/>
              <w:ind w:firstLine="280" w:firstLineChars="10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近3年（20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月以后）承担过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万元及以上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业绩，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超过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1个以上的业绩，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每一个得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分，最高得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分（提供合同或中标通知书复印件加盖公章，否则不计分）</w:t>
            </w:r>
          </w:p>
        </w:tc>
        <w:tc>
          <w:tcPr>
            <w:tcW w:w="619" w:type="dxa"/>
            <w:vAlign w:val="top"/>
          </w:tcPr>
          <w:p>
            <w:pPr>
              <w:widowControl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276" w:type="dxa"/>
            <w:vMerge w:val="continue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项目负责人业绩</w:t>
            </w:r>
          </w:p>
        </w:tc>
        <w:tc>
          <w:tcPr>
            <w:tcW w:w="767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483" w:type="dxa"/>
            <w:vAlign w:val="center"/>
          </w:tcPr>
          <w:p>
            <w:pPr>
              <w:spacing w:line="500" w:lineRule="exact"/>
              <w:ind w:firstLine="280" w:firstLineChars="10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项目负责人具备单项合同投资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万元及以上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市政工程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业绩，1个得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分，最多得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分；（需提供合同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中标通知书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等证明文件能够证明项目负责人，并加盖单位公章）。</w:t>
            </w:r>
          </w:p>
        </w:tc>
        <w:tc>
          <w:tcPr>
            <w:tcW w:w="619" w:type="dxa"/>
            <w:vAlign w:val="top"/>
          </w:tcPr>
          <w:p>
            <w:pPr>
              <w:widowControl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w w:val="9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483" w:type="dxa"/>
            <w:vAlign w:val="center"/>
          </w:tcPr>
          <w:p>
            <w:pPr>
              <w:spacing w:line="500" w:lineRule="exact"/>
              <w:ind w:firstLine="280" w:firstLineChars="1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项目管理人员具备中级及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以上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工程师职称每人员得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2分，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最多得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需提供近三个月的社保证明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19" w:type="dxa"/>
            <w:vAlign w:val="top"/>
          </w:tcPr>
          <w:p>
            <w:pPr>
              <w:widowControl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w w:val="9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276" w:type="dxa"/>
            <w:vMerge w:val="restar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8"/>
                <w:szCs w:val="28"/>
                <w:lang w:val="en-US" w:eastAsia="zh-CN"/>
              </w:rPr>
              <w:t>技术部分</w:t>
            </w:r>
          </w:p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8"/>
                <w:szCs w:val="28"/>
                <w:lang w:val="en-US" w:eastAsia="zh-CN"/>
              </w:rPr>
              <w:t>30分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施工组织设计</w:t>
            </w:r>
          </w:p>
        </w:tc>
        <w:tc>
          <w:tcPr>
            <w:tcW w:w="767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483" w:type="dxa"/>
            <w:vAlign w:val="center"/>
          </w:tcPr>
          <w:p>
            <w:pPr>
              <w:spacing w:line="500" w:lineRule="exact"/>
              <w:ind w:firstLine="280" w:firstLineChars="1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/>
              </w:rPr>
              <w:t>现场管理组织机构健全、分工明确、配置合理、劳动力组织合理，能满足施工要求。进场计划合理、保管看护措施齐全，物资供应进度计划满足招标文件要求，如施工现场的投入未能达到技术标所述标准，应有处罚、整改措施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优得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10-8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分，良得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分，一般得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-1分。</w:t>
            </w:r>
          </w:p>
        </w:tc>
        <w:tc>
          <w:tcPr>
            <w:tcW w:w="619" w:type="dxa"/>
            <w:vAlign w:val="top"/>
          </w:tcPr>
          <w:p>
            <w:pPr>
              <w:widowControl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w w:val="9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276" w:type="dxa"/>
            <w:vMerge w:val="continue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/>
              </w:rPr>
              <w:t>工程质量的技术组织措施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483" w:type="dxa"/>
            <w:vAlign w:val="center"/>
          </w:tcPr>
          <w:p>
            <w:pPr>
              <w:spacing w:line="500" w:lineRule="exact"/>
              <w:ind w:firstLine="280" w:firstLineChars="1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/>
              </w:rPr>
              <w:t>质量保证体系完整，措施且具针对性和可行性，确保工程质量的技术组织措施，使用的新技术、新工艺的图文说明。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优得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10-8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分，良得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分，一般得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-1分。</w:t>
            </w:r>
          </w:p>
        </w:tc>
        <w:tc>
          <w:tcPr>
            <w:tcW w:w="619" w:type="dxa"/>
            <w:vAlign w:val="top"/>
          </w:tcPr>
          <w:p>
            <w:pPr>
              <w:widowControl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w w:val="9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276" w:type="dxa"/>
            <w:vMerge w:val="continue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/>
              </w:rPr>
              <w:t>确保安全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文明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/>
              </w:rPr>
              <w:t>生产的技术组织措施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483" w:type="dxa"/>
            <w:vAlign w:val="center"/>
          </w:tcPr>
          <w:p>
            <w:pPr>
              <w:spacing w:line="500" w:lineRule="exact"/>
              <w:ind w:firstLine="280" w:firstLineChars="1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/>
              </w:rPr>
              <w:t>安全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文明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/>
              </w:rPr>
              <w:t>生产体系完整，措施有针对性和可行性，制定切实可行的安全技术措施，并从技术上入手，针对项目实际情况，编制安全预案，以达到安全目标。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优得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10-8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分，良得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分，一般得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-1分。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/>
              </w:rPr>
              <w:t xml:space="preserve"> </w:t>
            </w:r>
          </w:p>
        </w:tc>
        <w:tc>
          <w:tcPr>
            <w:tcW w:w="619" w:type="dxa"/>
            <w:vAlign w:val="top"/>
          </w:tcPr>
          <w:p>
            <w:pPr>
              <w:widowControl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w w:val="90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CF9BC2"/>
    <w:multiLevelType w:val="singleLevel"/>
    <w:tmpl w:val="F3CF9B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24F25"/>
    <w:rsid w:val="44A24F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next w:val="1"/>
    <w:qFormat/>
    <w:uiPriority w:val="1"/>
    <w:rPr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72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2024-11-29T08:54:00Z</dcterms:created>
  <dc:creator>陈</dc:creator>
  <cp:lastModifiedBy>陈</cp:lastModifiedBy>
  <dcterms:modified xsi:type="dcterms:W3CDTF">2024-11-29T08:54:18Z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