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0" w:firstLineChars="1650"/>
        <w:rPr>
          <w:rFonts w:ascii="黑体" w:hAnsi="黑体" w:eastAsia="黑体"/>
          <w:kern w:val="0"/>
          <w:sz w:val="40"/>
          <w:szCs w:val="40"/>
        </w:rPr>
      </w:pPr>
      <w:r>
        <w:rPr>
          <w:rFonts w:hint="eastAsia" w:ascii="黑体" w:hAnsi="黑体" w:eastAsia="黑体"/>
          <w:kern w:val="0"/>
          <w:sz w:val="40"/>
          <w:szCs w:val="40"/>
        </w:rPr>
        <w:t>评分表</w:t>
      </w:r>
    </w:p>
    <w:tbl>
      <w:tblPr>
        <w:tblStyle w:val="4"/>
        <w:tblpPr w:leftFromText="180" w:rightFromText="180" w:vertAnchor="text" w:horzAnchor="page" w:tblpX="950" w:tblpY="240"/>
        <w:tblOverlap w:val="never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05"/>
        <w:gridCol w:w="100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评分项目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评分标准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分值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报价部分</w:t>
            </w: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  <w:szCs w:val="21"/>
              </w:rPr>
              <w:t>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投标报价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基准价为评审合格的投标人投标报价去掉一个最高价、一个最低价的平均值（少于5家的，直接取平均值）。投标人报价比评标基准价每高出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auto"/>
                <w:szCs w:val="21"/>
              </w:rPr>
              <w:t>%扣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0.5</w:t>
            </w:r>
            <w:r>
              <w:rPr>
                <w:rFonts w:hint="eastAsia" w:cs="宋体"/>
                <w:color w:val="auto"/>
                <w:szCs w:val="21"/>
              </w:rPr>
              <w:t>分，扣完为止；投标人报价比评标基准价每低1%扣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auto"/>
                <w:szCs w:val="21"/>
              </w:rPr>
              <w:t>分，扣完为止；由此得出各投标人的投标报价得分（保留小数点后两位数字，第三位四舍五入），投标价得分的计算方法：30-丨（评标基准价-投标人报价）/评标基准价丨×100×E，E取值1或0.5。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30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color w:val="auto"/>
                <w:szCs w:val="21"/>
              </w:rPr>
            </w:pPr>
            <w:r>
              <w:rPr>
                <w:rFonts w:hint="eastAsia" w:cs="宋体"/>
                <w:b/>
                <w:bCs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cs="宋体"/>
                <w:b/>
                <w:bCs/>
                <w:color w:val="auto"/>
                <w:szCs w:val="21"/>
              </w:rPr>
              <w:t>部分</w:t>
            </w:r>
            <w:r>
              <w:rPr>
                <w:rFonts w:hint="eastAsia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b/>
                <w:bCs/>
                <w:color w:val="auto"/>
                <w:szCs w:val="21"/>
              </w:rPr>
              <w:t>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2"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2"/>
              <w:jc w:val="center"/>
              <w:rPr>
                <w:rFonts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投标人业绩</w:t>
            </w:r>
          </w:p>
        </w:tc>
        <w:tc>
          <w:tcPr>
            <w:tcW w:w="3264" w:type="pct"/>
            <w:noWrap w:val="0"/>
            <w:vAlign w:val="top"/>
          </w:tcPr>
          <w:p>
            <w:pPr>
              <w:spacing w:line="300" w:lineRule="auto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近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Cs w:val="21"/>
              </w:rPr>
              <w:t>年（202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auto"/>
                <w:szCs w:val="21"/>
              </w:rPr>
              <w:t>年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color w:val="auto"/>
                <w:szCs w:val="21"/>
              </w:rPr>
              <w:t>月至投标截止日)提供1个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地区自助洗车</w:t>
            </w:r>
            <w:r>
              <w:rPr>
                <w:rFonts w:hint="eastAsia" w:cs="宋体"/>
                <w:color w:val="auto"/>
                <w:szCs w:val="21"/>
              </w:rPr>
              <w:t>服务类合同业绩的不得分，每增加一个得4分，最高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cs="宋体"/>
                <w:color w:val="auto"/>
                <w:szCs w:val="21"/>
              </w:rPr>
              <w:t>分。</w:t>
            </w:r>
            <w:bookmarkStart w:id="0" w:name="_GoBack"/>
            <w:bookmarkEnd w:id="0"/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16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2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产品质量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hint="eastAsia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分，良得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分，一般得1-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14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b/>
                <w:bCs/>
                <w:color w:val="auto"/>
                <w:szCs w:val="21"/>
              </w:rPr>
            </w:pPr>
            <w:r>
              <w:rPr>
                <w:rFonts w:hint="eastAsia" w:cs="宋体"/>
                <w:b/>
                <w:bCs/>
                <w:color w:val="auto"/>
                <w:szCs w:val="21"/>
              </w:rPr>
              <w:t>技术服务部分30分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3"/>
              <w:ind w:left="0" w:leftChars="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技术及安装实施方案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投标人根据项目情况以及现场条件，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自助洗车系统平台与城市智慧停车系统平台达到技术融合对接（对接费由投标方承担），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、项目实施保证措施等内容进行打分：方案，切实、可行得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15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2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售后服务计划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为确保后期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自助洗车设施设备</w:t>
            </w:r>
            <w:r>
              <w:rPr>
                <w:rFonts w:hint="eastAsia" w:cs="宋体"/>
                <w:color w:val="auto"/>
                <w:szCs w:val="21"/>
              </w:rPr>
              <w:t>的日常维护，生产厂家是否在当地设有机构（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color w:val="auto"/>
                <w:szCs w:val="21"/>
              </w:rPr>
              <w:t>分）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auto"/>
                <w:szCs w:val="21"/>
              </w:rPr>
              <w:t>投标人承诺在2 时内能赶到现场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进行售后服务（5分）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auto"/>
                <w:szCs w:val="21"/>
              </w:rPr>
              <w:t>有固定的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运维</w:t>
            </w:r>
            <w:r>
              <w:rPr>
                <w:rFonts w:hint="eastAsia" w:cs="宋体"/>
                <w:color w:val="auto"/>
                <w:szCs w:val="21"/>
              </w:rPr>
              <w:t>人员，能为相应的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自助洗车设施设备</w:t>
            </w:r>
            <w:r>
              <w:rPr>
                <w:rFonts w:hint="eastAsia" w:cs="宋体"/>
                <w:color w:val="auto"/>
                <w:szCs w:val="21"/>
              </w:rPr>
              <w:t>进行定期维护及维修或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提供自助洗车咨询服务等（5分）</w:t>
            </w:r>
            <w:r>
              <w:rPr>
                <w:rFonts w:hint="eastAsia" w:cs="宋体"/>
                <w:color w:val="auto"/>
                <w:szCs w:val="21"/>
              </w:rPr>
              <w:t>。能提供相关证明承诺函的得分，无证明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不</w:t>
            </w:r>
            <w:r>
              <w:rPr>
                <w:rFonts w:hint="eastAsia" w:cs="宋体"/>
                <w:color w:val="auto"/>
                <w:szCs w:val="21"/>
              </w:rPr>
              <w:t>得分。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15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YTY0ODM5MDM0ZDdiZDg1OGVlOWVmNDkyNTk0NmEifQ=="/>
    <w:docVar w:name="KSO_WPS_MARK_KEY" w:val="1bf02aea-76a9-47ed-bde7-3e62b9854d37"/>
  </w:docVars>
  <w:rsids>
    <w:rsidRoot w:val="00000000"/>
    <w:rsid w:val="00BF112A"/>
    <w:rsid w:val="00F036C9"/>
    <w:rsid w:val="07AC7BD8"/>
    <w:rsid w:val="1E102611"/>
    <w:rsid w:val="205B08F1"/>
    <w:rsid w:val="21A23293"/>
    <w:rsid w:val="232341E3"/>
    <w:rsid w:val="30656A38"/>
    <w:rsid w:val="3D8B4B98"/>
    <w:rsid w:val="4207147E"/>
    <w:rsid w:val="43EA577A"/>
    <w:rsid w:val="448206EE"/>
    <w:rsid w:val="4C6D2F4C"/>
    <w:rsid w:val="51C770FB"/>
    <w:rsid w:val="54745318"/>
    <w:rsid w:val="573E1C0D"/>
    <w:rsid w:val="5BD90156"/>
    <w:rsid w:val="5FB60D73"/>
    <w:rsid w:val="65055B18"/>
    <w:rsid w:val="671E7365"/>
    <w:rsid w:val="6CAE6A95"/>
    <w:rsid w:val="72620F2B"/>
    <w:rsid w:val="781C5316"/>
    <w:rsid w:val="7A0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665</Characters>
  <Lines>0</Lines>
  <Paragraphs>0</Paragraphs>
  <TotalTime>0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2024-05-17T03:15:00Z</dcterms:created>
  <dc:creator>Administrator</dc:creator>
  <cp:lastModifiedBy>陈雷</cp:lastModifiedBy>
  <cp:lastPrinted>2024-08-02T02:35:04Z</cp:lastPrinted>
  <dcterms:modified xsi:type="dcterms:W3CDTF">2024-08-02T02:35:07Z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5E935EE65A3A41ECA2EE4DF7285AB1EA_13</vt:lpwstr>
  </property>
</Properties>
</file>