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firstLine="28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件</w:t>
      </w:r>
      <w:r>
        <w:rPr>
          <w:rFonts w:hint="eastAsia" w:ascii="宋体" w:hAnsi="宋体" w:eastAsia="宋体" w:cs="宋体"/>
          <w:sz w:val="28"/>
          <w:szCs w:val="28"/>
        </w:rPr>
        <w:t>1</w:t>
      </w:r>
      <w:bookmarkEnd w:id="0"/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6"/>
        <w:spacing w:line="500" w:lineRule="exact"/>
        <w:ind w:firstLine="28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</w:t>
      </w:r>
      <w:r>
        <w:rPr>
          <w:rFonts w:hint="eastAsia" w:ascii="宋体" w:hAnsi="宋体" w:eastAsia="宋体" w:cs="宋体"/>
          <w:sz w:val="28"/>
          <w:szCs w:val="28"/>
        </w:rPr>
        <w:t>评分表</w:t>
      </w:r>
    </w:p>
    <w:tbl>
      <w:tblPr>
        <w:tblStyle w:val="7"/>
        <w:tblW w:w="0" w:type="auto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767"/>
        <w:gridCol w:w="5483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价格部分</w:t>
            </w:r>
          </w:p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投标报价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40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基准价计算：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2、投标报价计算：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2.1以基准价（Pa）为基准，投标报价每高于基准价（Pa）1%扣1分，低于基准价（Pa）1%扣0.5分。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2.2报价得分=40－(│Pa－q│/Pa)×100×Ka</w:t>
            </w:r>
          </w:p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其中：—Pa为基准价；—q为投标报价；—Ka取值为1或0.5计算按四舍五入方式，保留小数点后两位。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综合部分</w:t>
            </w:r>
          </w:p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30分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投标人业绩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15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1、投标人提供近3年（2021年6月以后）承担过90万元及以上市政工程业绩，超过1个以上的业绩，每一个得5分，最高得15分（提供合同或中标通知书复印件加盖公章，否则不计分）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项目负责人业绩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1、项目负责人具备单项合同投资90万元及以上市政工程业绩，1个得5分，最多得15分；（需提供合同或中标通知书等证明文件能够证明项目负责人，并加盖单位公章.提供项目负责人近三个月社保证明）。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技术部分</w:t>
            </w:r>
          </w:p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8"/>
                <w:szCs w:val="28"/>
              </w:rPr>
              <w:t>30分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施工组织设计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现场管理组织机构健全、分工明确、配置合理、劳动力组织合理，能满足施工要求。进场计划合理、保管看护措施齐全，物资供应进度计划满足招标文件要求，如施工现场的投入未能达到技术标所述标准，应有处罚、整改措施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优得10-8分，良得7-4分，一般得3-1分。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工程质量的技术组织措施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质量保证体系完整，措施且具针对性和可行性，确保工程质量的技术组织措施，使用的新技术、新工艺的图文说明。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优得10-8分，良得7-4分，一般得3-1分。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确保安全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生产的技术组织措施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安全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生产体系完整，措施有针对性和可行性，制定切实可行的安全技术措施，并从技术上入手，针对项目实际情况，编制安全预案，以达到安全目标。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优得10-8分，良得7-4分，一般得3-1分。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9BC2"/>
    <w:multiLevelType w:val="singleLevel"/>
    <w:tmpl w:val="F3CF9B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Zjk4YjUyZjRiNjgwZTdkZDNjYzUzYzRjNDlmM2QifQ=="/>
  </w:docVars>
  <w:rsids>
    <w:rsidRoot w:val="23D85346"/>
    <w:rsid w:val="23D85346"/>
    <w:rsid w:val="7A31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2024-06-26T08:35:00Z</dcterms:created>
  <dc:creator>张鑫</dc:creator>
  <cp:lastModifiedBy>张鑫</cp:lastModifiedBy>
  <dcterms:modified xsi:type="dcterms:W3CDTF">2024-06-26T08:39:50Z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0BAEC055BD47403EA12E87FCF25D10C3_13</vt:lpwstr>
  </property>
</Properties>
</file>