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320"/>
        <w:rPr>
          <w:rFonts w:hint="eastAsia"/>
          <w:sz w:val="32"/>
          <w:szCs w:val="24"/>
        </w:rPr>
      </w:pPr>
      <w:r>
        <w:rPr>
          <w:rFonts w:hint="eastAsia"/>
          <w:sz w:val="32"/>
          <w:szCs w:val="24"/>
        </w:rPr>
        <w:t>附表1：</w:t>
      </w:r>
    </w:p>
    <w:p>
      <w:pPr>
        <w:pStyle w:val="7"/>
        <w:ind w:firstLine="320"/>
        <w:jc w:val="center"/>
        <w:rPr>
          <w:rFonts w:hint="eastAsia"/>
          <w:sz w:val="32"/>
          <w:szCs w:val="24"/>
        </w:rPr>
      </w:pPr>
      <w:r>
        <w:rPr>
          <w:rFonts w:hint="eastAsia"/>
          <w:sz w:val="32"/>
          <w:szCs w:val="24"/>
        </w:rPr>
        <w:t>评分表</w:t>
      </w:r>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881"/>
        <w:gridCol w:w="775"/>
        <w:gridCol w:w="6225"/>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29" w:type="dxa"/>
            <w:noWrap w:val="0"/>
            <w:vAlign w:val="center"/>
          </w:tcPr>
          <w:p>
            <w:pPr>
              <w:adjustRightInd w:val="0"/>
              <w:snapToGrid w:val="0"/>
              <w:spacing w:line="300" w:lineRule="exact"/>
              <w:ind w:firstLine="0" w:firstLineChars="0"/>
              <w:jc w:val="center"/>
              <w:rPr>
                <w:rFonts w:ascii="仿宋" w:hAnsi="仿宋"/>
                <w:b/>
                <w:w w:val="90"/>
                <w:sz w:val="24"/>
              </w:rPr>
            </w:pPr>
            <w:r>
              <w:rPr>
                <w:rFonts w:hint="eastAsia" w:ascii="仿宋" w:hAnsi="仿宋"/>
                <w:b/>
                <w:w w:val="90"/>
                <w:sz w:val="24"/>
              </w:rPr>
              <w:t>评审项目</w:t>
            </w:r>
          </w:p>
        </w:tc>
        <w:tc>
          <w:tcPr>
            <w:tcW w:w="881" w:type="dxa"/>
            <w:noWrap w:val="0"/>
            <w:vAlign w:val="center"/>
          </w:tcPr>
          <w:p>
            <w:pPr>
              <w:snapToGrid w:val="0"/>
              <w:spacing w:line="300" w:lineRule="exact"/>
              <w:ind w:firstLine="0" w:firstLineChars="0"/>
              <w:jc w:val="center"/>
              <w:rPr>
                <w:rFonts w:ascii="仿宋" w:hAnsi="仿宋"/>
                <w:b/>
                <w:w w:val="90"/>
                <w:sz w:val="24"/>
              </w:rPr>
            </w:pPr>
            <w:r>
              <w:rPr>
                <w:rFonts w:hint="eastAsia" w:ascii="仿宋" w:hAnsi="仿宋"/>
                <w:b/>
                <w:w w:val="90"/>
                <w:sz w:val="24"/>
              </w:rPr>
              <w:t>项目</w:t>
            </w:r>
          </w:p>
        </w:tc>
        <w:tc>
          <w:tcPr>
            <w:tcW w:w="775" w:type="dxa"/>
            <w:noWrap w:val="0"/>
            <w:vAlign w:val="center"/>
          </w:tcPr>
          <w:p>
            <w:pPr>
              <w:snapToGrid w:val="0"/>
              <w:spacing w:line="300" w:lineRule="exact"/>
              <w:ind w:firstLine="0" w:firstLineChars="0"/>
              <w:jc w:val="center"/>
              <w:rPr>
                <w:rFonts w:ascii="仿宋" w:hAnsi="仿宋"/>
                <w:b/>
                <w:w w:val="90"/>
                <w:sz w:val="24"/>
              </w:rPr>
            </w:pPr>
            <w:r>
              <w:rPr>
                <w:rFonts w:hint="eastAsia" w:ascii="仿宋" w:hAnsi="仿宋"/>
                <w:b/>
                <w:w w:val="90"/>
                <w:sz w:val="24"/>
              </w:rPr>
              <w:t>分数</w:t>
            </w:r>
          </w:p>
        </w:tc>
        <w:tc>
          <w:tcPr>
            <w:tcW w:w="6225" w:type="dxa"/>
            <w:noWrap w:val="0"/>
            <w:vAlign w:val="center"/>
          </w:tcPr>
          <w:p>
            <w:pPr>
              <w:snapToGrid w:val="0"/>
              <w:spacing w:line="300" w:lineRule="exact"/>
              <w:ind w:firstLine="0" w:firstLineChars="0"/>
              <w:jc w:val="center"/>
              <w:rPr>
                <w:rFonts w:ascii="仿宋" w:hAnsi="仿宋"/>
                <w:b/>
                <w:w w:val="90"/>
                <w:sz w:val="24"/>
              </w:rPr>
            </w:pPr>
            <w:r>
              <w:rPr>
                <w:rFonts w:hint="eastAsia" w:ascii="仿宋" w:hAnsi="仿宋"/>
                <w:b/>
                <w:w w:val="90"/>
                <w:sz w:val="24"/>
              </w:rPr>
              <w:t>评审内容</w:t>
            </w:r>
          </w:p>
        </w:tc>
        <w:tc>
          <w:tcPr>
            <w:tcW w:w="544" w:type="dxa"/>
            <w:noWrap w:val="0"/>
            <w:vAlign w:val="center"/>
          </w:tcPr>
          <w:p>
            <w:pPr>
              <w:widowControl/>
              <w:spacing w:line="300" w:lineRule="exact"/>
              <w:ind w:firstLine="0" w:firstLineChars="0"/>
              <w:jc w:val="center"/>
              <w:rPr>
                <w:rFonts w:ascii="仿宋" w:hAnsi="仿宋"/>
                <w:b/>
                <w:w w:val="90"/>
                <w:sz w:val="24"/>
              </w:rPr>
            </w:pPr>
            <w:r>
              <w:rPr>
                <w:rFonts w:hint="eastAsia" w:ascii="仿宋" w:hAnsi="仿宋"/>
                <w:b/>
                <w:w w:val="9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价格部分</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outlineLvl w:val="9"/>
              <w:rPr>
                <w:rFonts w:hint="eastAsia" w:ascii="仿宋" w:hAnsi="仿宋" w:eastAsia="仿宋" w:cs="仿宋"/>
                <w:w w:val="90"/>
                <w:sz w:val="24"/>
                <w:szCs w:val="24"/>
              </w:rPr>
            </w:pPr>
            <w:r>
              <w:rPr>
                <w:rFonts w:hint="eastAsia" w:ascii="仿宋" w:hAnsi="仿宋" w:eastAsia="仿宋" w:cs="仿宋"/>
                <w:sz w:val="24"/>
                <w:szCs w:val="24"/>
                <w:lang w:val="en-US" w:eastAsia="zh-CN"/>
              </w:rPr>
              <w:t>40分</w:t>
            </w: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rPr>
            </w:pPr>
            <w:r>
              <w:rPr>
                <w:rFonts w:hint="eastAsia" w:ascii="仿宋" w:hAnsi="仿宋" w:eastAsia="仿宋" w:cs="仿宋"/>
                <w:w w:val="90"/>
                <w:sz w:val="24"/>
                <w:szCs w:val="24"/>
              </w:rPr>
              <w:t>投标报价</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lang w:val="en-US" w:eastAsia="zh-CN"/>
              </w:rPr>
            </w:pPr>
            <w:r>
              <w:rPr>
                <w:rFonts w:hint="eastAsia" w:ascii="仿宋" w:hAnsi="仿宋" w:eastAsia="仿宋" w:cs="仿宋"/>
                <w:w w:val="90"/>
                <w:sz w:val="24"/>
                <w:szCs w:val="24"/>
                <w:lang w:val="en-US" w:eastAsia="zh-CN"/>
              </w:rPr>
              <w:t>40</w:t>
            </w:r>
          </w:p>
        </w:tc>
        <w:tc>
          <w:tcPr>
            <w:tcW w:w="622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基准价计算：</w:t>
            </w:r>
          </w:p>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基准价为各有效投标报价中去掉最高和最低报价后的算术平均值。若有效投标报价少于五家（不含五家）时，则以所有有效投标报价的算术平均值为基准价。</w:t>
            </w:r>
          </w:p>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2、投标报价计算：</w:t>
            </w:r>
          </w:p>
          <w:p>
            <w:pPr>
              <w:keepNext w:val="0"/>
              <w:keepLines w:val="0"/>
              <w:pageBreakBefore w:val="0"/>
              <w:widowControl w:val="0"/>
              <w:kinsoku/>
              <w:wordWrap/>
              <w:overflowPunct/>
              <w:topLinePunct w:val="0"/>
              <w:autoSpaceDE/>
              <w:autoSpaceDN/>
              <w:bidi w:val="0"/>
              <w:adjustRightInd/>
              <w:spacing w:line="240" w:lineRule="atLeast"/>
              <w:ind w:firstLine="240" w:firstLineChars="100"/>
              <w:textAlignment w:val="auto"/>
              <w:outlineLvl w:val="9"/>
              <w:rPr>
                <w:rFonts w:hint="eastAsia" w:ascii="仿宋" w:hAnsi="仿宋" w:eastAsia="仿宋" w:cs="仿宋"/>
                <w:sz w:val="24"/>
                <w:szCs w:val="24"/>
              </w:rPr>
            </w:pPr>
            <w:r>
              <w:rPr>
                <w:rFonts w:hint="eastAsia" w:ascii="仿宋" w:hAnsi="仿宋" w:eastAsia="仿宋" w:cs="仿宋"/>
                <w:sz w:val="24"/>
                <w:szCs w:val="24"/>
              </w:rPr>
              <w:t>2.1以基准价（Pa）为基准，投标报价每高于基准价（Pa）1%扣1分，低于基准价（Pa）1%扣0.5分。</w:t>
            </w:r>
          </w:p>
          <w:p>
            <w:pPr>
              <w:keepNext w:val="0"/>
              <w:keepLines w:val="0"/>
              <w:pageBreakBefore w:val="0"/>
              <w:widowControl w:val="0"/>
              <w:kinsoku/>
              <w:wordWrap/>
              <w:overflowPunct/>
              <w:topLinePunct w:val="0"/>
              <w:autoSpaceDE/>
              <w:autoSpaceDN/>
              <w:bidi w:val="0"/>
              <w:adjustRightInd/>
              <w:spacing w:line="240" w:lineRule="atLeast"/>
              <w:ind w:firstLine="240" w:firstLineChars="100"/>
              <w:textAlignment w:val="auto"/>
              <w:outlineLvl w:val="9"/>
              <w:rPr>
                <w:rFonts w:hint="eastAsia" w:ascii="仿宋" w:hAnsi="仿宋" w:eastAsia="仿宋" w:cs="仿宋"/>
                <w:sz w:val="24"/>
                <w:szCs w:val="24"/>
              </w:rPr>
            </w:pPr>
            <w:r>
              <w:rPr>
                <w:rFonts w:hint="eastAsia" w:ascii="仿宋" w:hAnsi="仿宋" w:eastAsia="仿宋" w:cs="仿宋"/>
                <w:sz w:val="24"/>
                <w:szCs w:val="24"/>
              </w:rPr>
              <w:t>2.2报价得分=</w:t>
            </w:r>
            <w:r>
              <w:rPr>
                <w:rFonts w:hint="eastAsia" w:ascii="仿宋" w:hAnsi="仿宋" w:eastAsia="仿宋" w:cs="仿宋"/>
                <w:sz w:val="24"/>
                <w:szCs w:val="24"/>
                <w:lang w:val="en-US" w:eastAsia="zh-CN"/>
              </w:rPr>
              <w:t>40</w:t>
            </w:r>
            <w:r>
              <w:rPr>
                <w:rFonts w:hint="eastAsia" w:ascii="仿宋" w:hAnsi="仿宋" w:eastAsia="仿宋" w:cs="仿宋"/>
                <w:sz w:val="24"/>
                <w:szCs w:val="24"/>
              </w:rPr>
              <w:t>－(│Pa－q│/Pa)×100×Ka</w:t>
            </w:r>
          </w:p>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其中：</w:t>
            </w:r>
            <w:r>
              <w:rPr>
                <w:rFonts w:hint="eastAsia" w:ascii="仿宋" w:hAnsi="仿宋" w:eastAsia="仿宋" w:cs="仿宋"/>
                <w:sz w:val="24"/>
                <w:szCs w:val="24"/>
              </w:rPr>
              <w:br w:type="textWrapping"/>
            </w:r>
            <w:r>
              <w:rPr>
                <w:rFonts w:hint="eastAsia" w:ascii="仿宋" w:hAnsi="仿宋" w:eastAsia="仿宋" w:cs="仿宋"/>
                <w:sz w:val="24"/>
                <w:szCs w:val="24"/>
              </w:rPr>
              <w:t>—Pa为基准价</w:t>
            </w:r>
            <w:r>
              <w:rPr>
                <w:rFonts w:hint="eastAsia" w:ascii="仿宋" w:hAnsi="仿宋" w:eastAsia="仿宋" w:cs="仿宋"/>
                <w:sz w:val="24"/>
                <w:szCs w:val="24"/>
              </w:rPr>
              <w:br w:type="textWrapping"/>
            </w:r>
            <w:r>
              <w:rPr>
                <w:rFonts w:hint="eastAsia" w:ascii="仿宋" w:hAnsi="仿宋" w:eastAsia="仿宋" w:cs="仿宋"/>
                <w:sz w:val="24"/>
                <w:szCs w:val="24"/>
              </w:rPr>
              <w:t>—q为投标报价</w:t>
            </w:r>
            <w:r>
              <w:rPr>
                <w:rFonts w:hint="eastAsia" w:ascii="仿宋" w:hAnsi="仿宋" w:eastAsia="仿宋" w:cs="仿宋"/>
                <w:sz w:val="24"/>
                <w:szCs w:val="24"/>
              </w:rPr>
              <w:br w:type="textWrapping"/>
            </w:r>
            <w:r>
              <w:rPr>
                <w:rFonts w:hint="eastAsia" w:ascii="仿宋" w:hAnsi="仿宋" w:eastAsia="仿宋" w:cs="仿宋"/>
                <w:sz w:val="24"/>
                <w:szCs w:val="24"/>
              </w:rPr>
              <w:t>—Ka取值为0.5或1计算按四舍五入方式，保留小数点后两位。</w:t>
            </w:r>
          </w:p>
        </w:tc>
        <w:tc>
          <w:tcPr>
            <w:tcW w:w="544" w:type="dxa"/>
            <w:noWrap w:val="0"/>
            <w:vAlign w:val="top"/>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3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商务部分</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outlineLvl w:val="9"/>
              <w:rPr>
                <w:rFonts w:hint="eastAsia" w:ascii="仿宋" w:hAnsi="仿宋" w:eastAsia="仿宋" w:cs="仿宋"/>
                <w:w w:val="90"/>
                <w:sz w:val="24"/>
                <w:szCs w:val="24"/>
              </w:rPr>
            </w:pPr>
            <w:r>
              <w:rPr>
                <w:rFonts w:hint="eastAsia" w:ascii="仿宋" w:hAnsi="仿宋" w:eastAsia="仿宋" w:cs="仿宋"/>
                <w:sz w:val="24"/>
                <w:szCs w:val="24"/>
                <w:lang w:val="en-US" w:eastAsia="zh-CN"/>
              </w:rPr>
              <w:t>30分</w:t>
            </w: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color w:val="auto"/>
                <w:w w:val="90"/>
                <w:sz w:val="24"/>
                <w:szCs w:val="24"/>
                <w:lang w:val="en-US" w:eastAsia="zh-CN"/>
              </w:rPr>
            </w:pPr>
            <w:r>
              <w:rPr>
                <w:rFonts w:hint="eastAsia" w:ascii="仿宋" w:hAnsi="仿宋" w:eastAsia="仿宋" w:cs="仿宋"/>
                <w:color w:val="auto"/>
                <w:sz w:val="24"/>
                <w:szCs w:val="24"/>
                <w:lang w:val="en-US" w:eastAsia="zh-CN"/>
              </w:rPr>
              <w:t>企业业绩</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lang w:val="en-US" w:eastAsia="zh-CN"/>
              </w:rPr>
            </w:pPr>
            <w:r>
              <w:rPr>
                <w:rFonts w:hint="eastAsia" w:ascii="仿宋" w:hAnsi="仿宋" w:cs="仿宋"/>
                <w:w w:val="90"/>
                <w:sz w:val="24"/>
                <w:szCs w:val="24"/>
                <w:lang w:val="en-US" w:eastAsia="zh-CN"/>
              </w:rPr>
              <w:t>9</w:t>
            </w:r>
          </w:p>
        </w:tc>
        <w:tc>
          <w:tcPr>
            <w:tcW w:w="6225" w:type="dxa"/>
            <w:noWrap w:val="0"/>
            <w:vAlign w:val="center"/>
          </w:tcPr>
          <w:p>
            <w:pPr>
              <w:pStyle w:val="3"/>
              <w:keepNext w:val="0"/>
              <w:keepLines w:val="0"/>
              <w:pageBreakBefore w:val="0"/>
              <w:widowControl w:val="0"/>
              <w:kinsoku/>
              <w:wordWrap/>
              <w:overflowPunct/>
              <w:topLinePunct w:val="0"/>
              <w:autoSpaceDE/>
              <w:autoSpaceDN/>
              <w:bidi w:val="0"/>
              <w:adjustRightInd/>
              <w:spacing w:line="240" w:lineRule="atLeast"/>
              <w:ind w:left="0" w:leftChars="0" w:firstLine="0" w:firstLineChars="0"/>
              <w:textAlignment w:val="auto"/>
              <w:outlineLvl w:val="9"/>
              <w:rPr>
                <w:rFonts w:hint="eastAsia" w:ascii="仿宋" w:hAnsi="仿宋" w:eastAsia="仿宋" w:cs="仿宋"/>
                <w:sz w:val="24"/>
                <w:szCs w:val="24"/>
              </w:rPr>
            </w:pPr>
            <w:r>
              <w:rPr>
                <w:rFonts w:hint="eastAsia" w:ascii="仿宋" w:hAnsi="仿宋" w:eastAsia="仿宋" w:cs="仿宋"/>
                <w:kern w:val="2"/>
                <w:sz w:val="24"/>
                <w:szCs w:val="24"/>
                <w:lang w:val="en-US" w:eastAsia="zh-CN" w:bidi="ar-SA"/>
              </w:rPr>
              <w:t>1、投标人近3年（2021年</w:t>
            </w:r>
            <w:r>
              <w:rPr>
                <w:rFonts w:hint="eastAsia" w:ascii="仿宋" w:hAnsi="仿宋" w:cs="仿宋"/>
                <w:kern w:val="2"/>
                <w:sz w:val="24"/>
                <w:szCs w:val="24"/>
                <w:lang w:val="en-US" w:eastAsia="zh-CN" w:bidi="ar-SA"/>
              </w:rPr>
              <w:t>5</w:t>
            </w:r>
            <w:r>
              <w:rPr>
                <w:rFonts w:hint="eastAsia" w:ascii="仿宋" w:hAnsi="仿宋" w:eastAsia="仿宋" w:cs="仿宋"/>
                <w:kern w:val="2"/>
                <w:sz w:val="24"/>
                <w:szCs w:val="24"/>
                <w:lang w:val="en-US" w:eastAsia="zh-CN" w:bidi="ar-SA"/>
              </w:rPr>
              <w:t>月至今）完成过一项39万元及以上类似业绩的得</w:t>
            </w:r>
            <w:r>
              <w:rPr>
                <w:rFonts w:hint="eastAsia" w:ascii="仿宋" w:hAnsi="仿宋" w:cs="仿宋"/>
                <w:kern w:val="2"/>
                <w:sz w:val="24"/>
                <w:szCs w:val="24"/>
                <w:lang w:val="en-US" w:eastAsia="zh-CN" w:bidi="ar-SA"/>
              </w:rPr>
              <w:t>3</w:t>
            </w:r>
            <w:r>
              <w:rPr>
                <w:rFonts w:hint="eastAsia" w:ascii="仿宋" w:hAnsi="仿宋" w:eastAsia="仿宋" w:cs="仿宋"/>
                <w:kern w:val="2"/>
                <w:sz w:val="24"/>
                <w:szCs w:val="24"/>
                <w:lang w:val="en-US" w:eastAsia="zh-CN" w:bidi="ar-SA"/>
              </w:rPr>
              <w:t>分，每增加1个类似业绩加</w:t>
            </w:r>
            <w:r>
              <w:rPr>
                <w:rFonts w:hint="eastAsia" w:ascii="仿宋" w:hAnsi="仿宋" w:cs="仿宋"/>
                <w:kern w:val="2"/>
                <w:sz w:val="24"/>
                <w:szCs w:val="24"/>
                <w:lang w:val="en-US" w:eastAsia="zh-CN" w:bidi="ar-SA"/>
              </w:rPr>
              <w:t>3</w:t>
            </w:r>
            <w:r>
              <w:rPr>
                <w:rFonts w:hint="eastAsia" w:ascii="仿宋" w:hAnsi="仿宋" w:eastAsia="仿宋" w:cs="仿宋"/>
                <w:kern w:val="2"/>
                <w:sz w:val="24"/>
                <w:szCs w:val="24"/>
                <w:lang w:val="en-US" w:eastAsia="zh-CN" w:bidi="ar-SA"/>
              </w:rPr>
              <w:t>分，最多得</w:t>
            </w:r>
            <w:r>
              <w:rPr>
                <w:rFonts w:hint="eastAsia" w:ascii="仿宋" w:hAnsi="仿宋" w:cs="仿宋"/>
                <w:kern w:val="2"/>
                <w:sz w:val="24"/>
                <w:szCs w:val="24"/>
                <w:lang w:val="en-US" w:eastAsia="zh-CN" w:bidi="ar-SA"/>
              </w:rPr>
              <w:t>9</w:t>
            </w:r>
            <w:r>
              <w:rPr>
                <w:rFonts w:hint="eastAsia" w:ascii="仿宋" w:hAnsi="仿宋" w:eastAsia="仿宋" w:cs="仿宋"/>
                <w:kern w:val="2"/>
                <w:sz w:val="24"/>
                <w:szCs w:val="24"/>
                <w:lang w:val="en-US" w:eastAsia="zh-CN" w:bidi="ar-SA"/>
              </w:rPr>
              <w:t>分。类似业绩是指：类似智慧交通设备采购及安装业绩。必须提供中标通知书或合同或完工验收证明文件，类似业绩以有效证明文件的落款时间为准；</w:t>
            </w:r>
          </w:p>
        </w:tc>
        <w:tc>
          <w:tcPr>
            <w:tcW w:w="544" w:type="dxa"/>
            <w:noWrap w:val="0"/>
            <w:vAlign w:val="top"/>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3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项目团队</w:t>
            </w:r>
          </w:p>
        </w:tc>
        <w:tc>
          <w:tcPr>
            <w:tcW w:w="77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cs="仿宋"/>
                <w:w w:val="90"/>
                <w:sz w:val="24"/>
                <w:szCs w:val="24"/>
                <w:lang w:val="en-US" w:eastAsia="zh-CN"/>
              </w:rPr>
            </w:pPr>
            <w:r>
              <w:rPr>
                <w:rFonts w:hint="eastAsia" w:ascii="仿宋" w:hAnsi="仿宋" w:cs="仿宋"/>
                <w:sz w:val="24"/>
                <w:szCs w:val="24"/>
                <w:lang w:val="en-US" w:eastAsia="zh-CN"/>
              </w:rPr>
              <w:t>9</w:t>
            </w:r>
          </w:p>
        </w:tc>
        <w:tc>
          <w:tcPr>
            <w:tcW w:w="622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项目负责人具备中级职称的得</w:t>
            </w:r>
            <w:r>
              <w:rPr>
                <w:rFonts w:hint="eastAsia" w:ascii="仿宋" w:hAnsi="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CN" w:bidi="ar-SA"/>
              </w:rPr>
              <w:t>分，具有高级职称的得</w:t>
            </w:r>
            <w:r>
              <w:rPr>
                <w:rFonts w:hint="eastAsia" w:ascii="仿宋" w:hAnsi="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分，</w:t>
            </w:r>
            <w:r>
              <w:rPr>
                <w:rFonts w:hint="eastAsia" w:ascii="仿宋" w:hAnsi="仿宋" w:cs="仿宋"/>
                <w:color w:val="auto"/>
                <w:kern w:val="2"/>
                <w:sz w:val="24"/>
                <w:szCs w:val="24"/>
                <w:highlight w:val="none"/>
                <w:lang w:val="en-US" w:eastAsia="zh-CN" w:bidi="ar-SA"/>
              </w:rPr>
              <w:t>最高得4分</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项目负责人具备</w:t>
            </w:r>
            <w:r>
              <w:rPr>
                <w:rFonts w:hint="eastAsia" w:ascii="仿宋" w:hAnsi="仿宋" w:cs="仿宋"/>
                <w:color w:val="auto"/>
                <w:kern w:val="2"/>
                <w:sz w:val="24"/>
                <w:szCs w:val="24"/>
                <w:highlight w:val="none"/>
                <w:lang w:val="en-US" w:eastAsia="zh-CN" w:bidi="ar-SA"/>
              </w:rPr>
              <w:t>本科及以上学历得2分，其他不得分（提供学历证明）；</w:t>
            </w:r>
          </w:p>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项目负责人具备</w:t>
            </w:r>
            <w:r>
              <w:rPr>
                <w:rFonts w:hint="eastAsia" w:ascii="仿宋" w:hAnsi="仿宋" w:cs="仿宋"/>
                <w:color w:val="auto"/>
                <w:kern w:val="2"/>
                <w:sz w:val="24"/>
                <w:szCs w:val="24"/>
                <w:highlight w:val="none"/>
                <w:lang w:val="en-US" w:eastAsia="zh-CN" w:bidi="ar-SA"/>
              </w:rPr>
              <w:t>机电专业二级建造师得1分，一级建造师得3分，最高得3分</w:t>
            </w:r>
            <w:r>
              <w:rPr>
                <w:rFonts w:hint="eastAsia" w:ascii="仿宋" w:hAnsi="仿宋" w:eastAsia="仿宋" w:cs="仿宋"/>
                <w:color w:val="auto"/>
                <w:kern w:val="2"/>
                <w:sz w:val="24"/>
                <w:szCs w:val="24"/>
                <w:highlight w:val="none"/>
                <w:lang w:val="en-US" w:eastAsia="zh-CN" w:bidi="ar-SA"/>
              </w:rPr>
              <w:t>（提供相关</w:t>
            </w:r>
            <w:r>
              <w:rPr>
                <w:rFonts w:hint="eastAsia" w:ascii="仿宋" w:hAnsi="仿宋" w:cs="仿宋"/>
                <w:color w:val="auto"/>
                <w:kern w:val="2"/>
                <w:sz w:val="24"/>
                <w:szCs w:val="24"/>
                <w:highlight w:val="none"/>
                <w:lang w:val="en-US" w:eastAsia="zh-CN" w:bidi="ar-SA"/>
              </w:rPr>
              <w:t>证明资料</w:t>
            </w:r>
            <w:r>
              <w:rPr>
                <w:rFonts w:hint="eastAsia" w:ascii="仿宋" w:hAnsi="仿宋" w:eastAsia="仿宋" w:cs="仿宋"/>
                <w:color w:val="auto"/>
                <w:kern w:val="2"/>
                <w:sz w:val="24"/>
                <w:szCs w:val="24"/>
                <w:highlight w:val="none"/>
                <w:lang w:val="en-US" w:eastAsia="zh-CN" w:bidi="ar-SA"/>
              </w:rPr>
              <w:t>及近6个月的社保证明材料；未提供不得分。）</w:t>
            </w:r>
          </w:p>
        </w:tc>
        <w:tc>
          <w:tcPr>
            <w:tcW w:w="544" w:type="dxa"/>
            <w:noWrap w:val="0"/>
            <w:vAlign w:val="top"/>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3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highlight w:val="none"/>
                <w:lang w:val="en-US" w:eastAsia="zh-CN" w:bidi="ar-SA"/>
              </w:rPr>
              <w:t>质保服务</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lang w:val="en-US" w:eastAsia="zh-CN"/>
              </w:rPr>
            </w:pPr>
            <w:r>
              <w:rPr>
                <w:rFonts w:hint="eastAsia" w:ascii="仿宋" w:hAnsi="仿宋" w:cs="仿宋"/>
                <w:w w:val="90"/>
                <w:sz w:val="24"/>
                <w:szCs w:val="24"/>
                <w:lang w:val="en-US" w:eastAsia="zh-CN"/>
              </w:rPr>
              <w:t>6</w:t>
            </w:r>
          </w:p>
        </w:tc>
        <w:tc>
          <w:tcPr>
            <w:tcW w:w="622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SA"/>
              </w:rPr>
              <w:t>质保期基础为2年，承诺每延长1年加</w:t>
            </w:r>
            <w:r>
              <w:rPr>
                <w:rFonts w:hint="eastAsia" w:ascii="仿宋" w:hAnsi="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CN" w:bidi="ar-SA"/>
              </w:rPr>
              <w:t>分，不承诺不得分，本项最高得</w:t>
            </w:r>
            <w:r>
              <w:rPr>
                <w:rFonts w:hint="eastAsia" w:ascii="仿宋" w:hAnsi="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en-US" w:eastAsia="zh-CN" w:bidi="ar-SA"/>
              </w:rPr>
              <w:t>分。</w:t>
            </w:r>
            <w:r>
              <w:rPr>
                <w:rFonts w:hint="eastAsia" w:ascii="仿宋" w:hAnsi="仿宋" w:eastAsia="仿宋" w:cs="仿宋"/>
                <w:b/>
                <w:bCs/>
                <w:color w:val="auto"/>
                <w:kern w:val="2"/>
                <w:sz w:val="24"/>
                <w:szCs w:val="24"/>
                <w:highlight w:val="none"/>
                <w:lang w:val="en-US" w:eastAsia="zh-CN" w:bidi="ar-SA"/>
              </w:rPr>
              <w:t>（提供质保期承诺函并加盖公章）</w:t>
            </w:r>
          </w:p>
        </w:tc>
        <w:tc>
          <w:tcPr>
            <w:tcW w:w="544" w:type="dxa"/>
            <w:noWrap w:val="0"/>
            <w:vAlign w:val="top"/>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3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highlight w:val="none"/>
                <w:lang w:val="en-US" w:eastAsia="zh-CN" w:bidi="ar-SA"/>
              </w:rPr>
              <w:t>认证体系</w:t>
            </w:r>
          </w:p>
        </w:tc>
        <w:tc>
          <w:tcPr>
            <w:tcW w:w="77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cs="仿宋"/>
                <w:sz w:val="24"/>
                <w:szCs w:val="24"/>
                <w:lang w:val="en-US" w:eastAsia="zh-CN"/>
              </w:rPr>
              <w:t>3</w:t>
            </w:r>
          </w:p>
        </w:tc>
        <w:tc>
          <w:tcPr>
            <w:tcW w:w="622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投标人具有“质量管理体系认证证书”、“职业健康安全管理体系认证证书”、“环境管理体系认证证书”的，全部提供得</w:t>
            </w:r>
            <w:r>
              <w:rPr>
                <w:rFonts w:hint="eastAsia" w:ascii="仿宋" w:hAnsi="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分，缺一项扣一分。提供国家市场监督管理总局全国认证认可信息公共服务平台查询截图，否则不得分</w:t>
            </w:r>
            <w:r>
              <w:rPr>
                <w:rFonts w:hint="eastAsia" w:ascii="仿宋" w:hAnsi="仿宋" w:cs="仿宋"/>
                <w:color w:val="auto"/>
                <w:kern w:val="2"/>
                <w:sz w:val="24"/>
                <w:szCs w:val="24"/>
                <w:highlight w:val="none"/>
                <w:lang w:val="en-US" w:eastAsia="zh-CN" w:bidi="ar-SA"/>
              </w:rPr>
              <w:t>。</w:t>
            </w:r>
          </w:p>
        </w:tc>
        <w:tc>
          <w:tcPr>
            <w:tcW w:w="544" w:type="dxa"/>
            <w:noWrap w:val="0"/>
            <w:vAlign w:val="top"/>
          </w:tcPr>
          <w:p>
            <w:pPr>
              <w:widowControl/>
              <w:spacing w:line="300" w:lineRule="exact"/>
              <w:ind w:firstLine="0" w:firstLineChars="0"/>
              <w:jc w:val="left"/>
              <w:rPr>
                <w:rFonts w:hint="eastAsia"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3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outlineLvl w:val="9"/>
              <w:rPr>
                <w:rFonts w:hint="eastAsia" w:ascii="仿宋" w:hAnsi="仿宋" w:eastAsia="仿宋" w:cs="仿宋"/>
                <w:sz w:val="24"/>
                <w:szCs w:val="24"/>
                <w:lang w:val="en-US" w:eastAsia="zh-CN"/>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SA"/>
              </w:rPr>
              <w:t>售后服务</w:t>
            </w:r>
          </w:p>
        </w:tc>
        <w:tc>
          <w:tcPr>
            <w:tcW w:w="77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cs="仿宋"/>
                <w:sz w:val="24"/>
                <w:szCs w:val="24"/>
                <w:lang w:val="en-US" w:eastAsia="zh-CN"/>
              </w:rPr>
              <w:t>3</w:t>
            </w:r>
          </w:p>
        </w:tc>
        <w:tc>
          <w:tcPr>
            <w:tcW w:w="622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SA"/>
              </w:rPr>
              <w:t>投标人承诺中标后在黄石或黄石周边有设立售后服务部门和完善的售后服务承诺方案（不限于质保期年限、响应时间、维修技术培训、备品备件等），2小时能够达到现场的，有固定的常驻售后技术服务人员，能为用户免费提供长期不间断服务。能提供相关证明的得</w:t>
            </w:r>
            <w:r>
              <w:rPr>
                <w:rFonts w:hint="eastAsia" w:ascii="仿宋" w:hAnsi="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分，无证明的得 0 分；（提供承诺函；提供售后服务部门常驻售后人员清单）</w:t>
            </w:r>
          </w:p>
        </w:tc>
        <w:tc>
          <w:tcPr>
            <w:tcW w:w="544" w:type="dxa"/>
            <w:noWrap w:val="0"/>
            <w:vAlign w:val="top"/>
          </w:tcPr>
          <w:p>
            <w:pPr>
              <w:widowControl/>
              <w:spacing w:line="300" w:lineRule="exact"/>
              <w:ind w:firstLine="0" w:firstLineChars="0"/>
              <w:jc w:val="left"/>
              <w:rPr>
                <w:rFonts w:hint="eastAsia"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13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技术部分</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30分</w:t>
            </w:r>
          </w:p>
        </w:tc>
        <w:tc>
          <w:tcPr>
            <w:tcW w:w="881"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技术方案</w:t>
            </w:r>
          </w:p>
        </w:tc>
        <w:tc>
          <w:tcPr>
            <w:tcW w:w="77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w:t>
            </w:r>
          </w:p>
        </w:tc>
        <w:tc>
          <w:tcPr>
            <w:tcW w:w="62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right="32" w:rightChars="10" w:firstLine="0" w:firstLineChars="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1、投标人根据招标文件提出合理实施方案，切实、可行得3-4分；合理得2-3分；一般得0-1分。</w:t>
            </w:r>
          </w:p>
          <w:p>
            <w:pPr>
              <w:pStyle w:val="3"/>
              <w:keepNext w:val="0"/>
              <w:keepLines w:val="0"/>
              <w:pageBreakBefore w:val="0"/>
              <w:widowControl w:val="0"/>
              <w:kinsoku/>
              <w:wordWrap/>
              <w:overflowPunct/>
              <w:topLinePunct w:val="0"/>
              <w:autoSpaceDE/>
              <w:autoSpaceDN/>
              <w:bidi w:val="0"/>
              <w:adjustRightInd/>
              <w:snapToGrid/>
              <w:spacing w:line="240" w:lineRule="atLeast"/>
              <w:ind w:left="0" w:leftChars="0" w:right="32" w:rightChars="10" w:firstLine="0" w:firstLineChars="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2、施工工艺与施工方法先进、合理，针对工程的重难点提出措施，得</w:t>
            </w:r>
            <w:r>
              <w:rPr>
                <w:rFonts w:hint="eastAsia" w:ascii="仿宋" w:hAnsi="仿宋" w:cs="仿宋"/>
                <w:color w:val="auto"/>
                <w:kern w:val="2"/>
                <w:sz w:val="24"/>
                <w:szCs w:val="24"/>
                <w:lang w:val="en-US" w:eastAsia="zh-CN" w:bidi="ar-SA"/>
              </w:rPr>
              <w:t>2-3</w:t>
            </w:r>
            <w:r>
              <w:rPr>
                <w:rFonts w:hint="eastAsia" w:ascii="仿宋" w:hAnsi="仿宋" w:eastAsia="仿宋" w:cs="仿宋"/>
                <w:color w:val="auto"/>
                <w:kern w:val="2"/>
                <w:sz w:val="24"/>
                <w:szCs w:val="24"/>
                <w:lang w:val="en-US" w:eastAsia="zh-CN" w:bidi="ar-SA"/>
              </w:rPr>
              <w:t>分；合理得</w:t>
            </w:r>
            <w:r>
              <w:rPr>
                <w:rFonts w:hint="eastAsia" w:ascii="仿宋" w:hAnsi="仿宋" w:cs="仿宋"/>
                <w:color w:val="auto"/>
                <w:kern w:val="2"/>
                <w:sz w:val="24"/>
                <w:szCs w:val="24"/>
                <w:lang w:val="en-US" w:eastAsia="zh-CN" w:bidi="ar-SA"/>
              </w:rPr>
              <w:t>1-2</w:t>
            </w:r>
            <w:r>
              <w:rPr>
                <w:rFonts w:hint="eastAsia" w:ascii="仿宋" w:hAnsi="仿宋" w:eastAsia="仿宋" w:cs="仿宋"/>
                <w:color w:val="auto"/>
                <w:kern w:val="2"/>
                <w:sz w:val="24"/>
                <w:szCs w:val="24"/>
                <w:lang w:val="en-US" w:eastAsia="zh-CN" w:bidi="ar-SA"/>
              </w:rPr>
              <w:t>分；一般得0-1分。</w:t>
            </w:r>
          </w:p>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color w:val="auto"/>
                <w:kern w:val="2"/>
                <w:sz w:val="24"/>
                <w:szCs w:val="24"/>
                <w:lang w:val="en-US" w:eastAsia="zh-CN" w:bidi="ar-SA"/>
              </w:rPr>
              <w:t>3、检验方案及安装切实、可行得</w:t>
            </w:r>
            <w:r>
              <w:rPr>
                <w:rFonts w:hint="eastAsia" w:ascii="仿宋" w:hAnsi="仿宋" w:cs="仿宋"/>
                <w:color w:val="auto"/>
                <w:kern w:val="2"/>
                <w:sz w:val="24"/>
                <w:szCs w:val="24"/>
                <w:lang w:val="en-US" w:eastAsia="zh-CN" w:bidi="ar-SA"/>
              </w:rPr>
              <w:t>2-3</w:t>
            </w:r>
            <w:r>
              <w:rPr>
                <w:rFonts w:hint="eastAsia" w:ascii="仿宋" w:hAnsi="仿宋" w:eastAsia="仿宋" w:cs="仿宋"/>
                <w:color w:val="auto"/>
                <w:kern w:val="2"/>
                <w:sz w:val="24"/>
                <w:szCs w:val="24"/>
                <w:lang w:val="en-US" w:eastAsia="zh-CN" w:bidi="ar-SA"/>
              </w:rPr>
              <w:t>分；合理得</w:t>
            </w:r>
            <w:r>
              <w:rPr>
                <w:rFonts w:hint="eastAsia" w:ascii="仿宋" w:hAnsi="仿宋" w:cs="仿宋"/>
                <w:color w:val="auto"/>
                <w:kern w:val="2"/>
                <w:sz w:val="24"/>
                <w:szCs w:val="24"/>
                <w:lang w:val="en-US" w:eastAsia="zh-CN" w:bidi="ar-SA"/>
              </w:rPr>
              <w:t>1-2</w:t>
            </w:r>
            <w:r>
              <w:rPr>
                <w:rFonts w:hint="eastAsia" w:ascii="仿宋" w:hAnsi="仿宋" w:eastAsia="仿宋" w:cs="仿宋"/>
                <w:color w:val="auto"/>
                <w:kern w:val="2"/>
                <w:sz w:val="24"/>
                <w:szCs w:val="24"/>
                <w:lang w:val="en-US" w:eastAsia="zh-CN" w:bidi="ar-SA"/>
              </w:rPr>
              <w:t>分；一般得0-1分。</w:t>
            </w:r>
          </w:p>
        </w:tc>
        <w:tc>
          <w:tcPr>
            <w:tcW w:w="544" w:type="dxa"/>
            <w:noWrap w:val="0"/>
            <w:vAlign w:val="top"/>
          </w:tcPr>
          <w:p>
            <w:pPr>
              <w:widowControl/>
              <w:spacing w:line="300" w:lineRule="exact"/>
              <w:ind w:firstLine="0" w:firstLineChars="0"/>
              <w:jc w:val="left"/>
              <w:rPr>
                <w:rFonts w:hint="eastAsia"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3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rPr>
            </w:pPr>
          </w:p>
        </w:tc>
        <w:tc>
          <w:tcPr>
            <w:tcW w:w="881" w:type="dxa"/>
            <w:noWrap w:val="0"/>
            <w:vAlign w:val="center"/>
          </w:tcPr>
          <w:p>
            <w:pPr>
              <w:pStyle w:val="3"/>
              <w:keepNext w:val="0"/>
              <w:keepLines w:val="0"/>
              <w:pageBreakBefore w:val="0"/>
              <w:widowControl w:val="0"/>
              <w:kinsoku/>
              <w:wordWrap/>
              <w:overflowPunct/>
              <w:topLinePunct w:val="0"/>
              <w:autoSpaceDE/>
              <w:autoSpaceDN/>
              <w:bidi w:val="0"/>
              <w:adjustRightInd/>
              <w:spacing w:line="240" w:lineRule="atLeast"/>
              <w:ind w:left="0" w:leftChars="0" w:firstLine="0" w:firstLineChars="0"/>
              <w:textAlignment w:val="auto"/>
              <w:outlineLvl w:val="9"/>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SA"/>
              </w:rPr>
              <w:t>系统总体技术方案</w:t>
            </w:r>
          </w:p>
        </w:tc>
        <w:tc>
          <w:tcPr>
            <w:tcW w:w="77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w:t>
            </w:r>
          </w:p>
        </w:tc>
        <w:tc>
          <w:tcPr>
            <w:tcW w:w="622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right="32" w:rightChars="10" w:firstLine="0" w:firstLineChars="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1、总体框架设计合理，各个组成部分定位准确，能充分反映出对业务问题的深入理解和解决问题的正确思路，能充分体现建设目标。科学、合理、针对性强</w:t>
            </w:r>
            <w:r>
              <w:rPr>
                <w:rFonts w:hint="eastAsia" w:ascii="仿宋" w:hAnsi="仿宋" w:cs="仿宋"/>
                <w:color w:val="auto"/>
                <w:kern w:val="2"/>
                <w:sz w:val="24"/>
                <w:szCs w:val="24"/>
                <w:lang w:val="en-US" w:eastAsia="zh-CN" w:bidi="ar-SA"/>
              </w:rPr>
              <w:t>4-5</w:t>
            </w:r>
            <w:r>
              <w:rPr>
                <w:rFonts w:hint="eastAsia" w:ascii="仿宋" w:hAnsi="仿宋" w:eastAsia="仿宋" w:cs="仿宋"/>
                <w:color w:val="auto"/>
                <w:kern w:val="2"/>
                <w:sz w:val="24"/>
                <w:szCs w:val="24"/>
                <w:lang w:val="en-US" w:eastAsia="zh-CN" w:bidi="ar-SA"/>
              </w:rPr>
              <w:t>分，合理、可行</w:t>
            </w:r>
            <w:r>
              <w:rPr>
                <w:rFonts w:hint="eastAsia" w:ascii="仿宋" w:hAnsi="仿宋" w:cs="仿宋"/>
                <w:color w:val="auto"/>
                <w:kern w:val="2"/>
                <w:sz w:val="24"/>
                <w:szCs w:val="24"/>
                <w:lang w:val="en-US" w:eastAsia="zh-CN" w:bidi="ar-SA"/>
              </w:rPr>
              <w:t>2-3</w:t>
            </w:r>
            <w:r>
              <w:rPr>
                <w:rFonts w:hint="eastAsia" w:ascii="仿宋" w:hAnsi="仿宋" w:eastAsia="仿宋" w:cs="仿宋"/>
                <w:color w:val="auto"/>
                <w:kern w:val="2"/>
                <w:sz w:val="24"/>
                <w:szCs w:val="24"/>
                <w:lang w:val="en-US" w:eastAsia="zh-CN" w:bidi="ar-SA"/>
              </w:rPr>
              <w:t xml:space="preserve">分，欠合理、基本可行 </w:t>
            </w:r>
            <w:r>
              <w:rPr>
                <w:rFonts w:hint="eastAsia" w:ascii="仿宋" w:hAnsi="仿宋" w:cs="仿宋"/>
                <w:color w:val="auto"/>
                <w:kern w:val="2"/>
                <w:sz w:val="24"/>
                <w:szCs w:val="24"/>
                <w:lang w:val="en-US" w:eastAsia="zh-CN" w:bidi="ar-SA"/>
              </w:rPr>
              <w:t>0-1</w:t>
            </w:r>
            <w:r>
              <w:rPr>
                <w:rFonts w:hint="eastAsia" w:ascii="仿宋" w:hAnsi="仿宋" w:eastAsia="仿宋" w:cs="仿宋"/>
                <w:color w:val="auto"/>
                <w:kern w:val="2"/>
                <w:sz w:val="24"/>
                <w:szCs w:val="24"/>
                <w:lang w:val="en-US" w:eastAsia="zh-CN" w:bidi="ar-SA"/>
              </w:rPr>
              <w:t>分，不可行不能满足招标文件要求 0 分；</w:t>
            </w:r>
          </w:p>
          <w:p>
            <w:pPr>
              <w:pStyle w:val="3"/>
              <w:keepNext w:val="0"/>
              <w:keepLines w:val="0"/>
              <w:pageBreakBefore w:val="0"/>
              <w:widowControl w:val="0"/>
              <w:kinsoku/>
              <w:wordWrap/>
              <w:overflowPunct/>
              <w:topLinePunct w:val="0"/>
              <w:autoSpaceDE/>
              <w:autoSpaceDN/>
              <w:bidi w:val="0"/>
              <w:adjustRightInd/>
              <w:snapToGrid/>
              <w:spacing w:line="240" w:lineRule="atLeast"/>
              <w:ind w:left="0" w:leftChars="0" w:right="32" w:rightChars="10" w:firstLine="0" w:firstLineChars="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2</w:t>
            </w:r>
            <w:r>
              <w:rPr>
                <w:rFonts w:hint="eastAsia" w:ascii="仿宋" w:hAnsi="仿宋" w:eastAsia="仿宋" w:cs="仿宋"/>
                <w:color w:val="auto"/>
                <w:kern w:val="2"/>
                <w:sz w:val="24"/>
                <w:szCs w:val="24"/>
                <w:lang w:val="en-US" w:eastAsia="zh-CN" w:bidi="ar-SA"/>
              </w:rPr>
              <w:t>、方案可实施能力强、可操作性强、合理性和可行性强。</w:t>
            </w:r>
          </w:p>
          <w:p>
            <w:pPr>
              <w:pStyle w:val="3"/>
              <w:keepNext w:val="0"/>
              <w:keepLines w:val="0"/>
              <w:pageBreakBefore w:val="0"/>
              <w:widowControl w:val="0"/>
              <w:kinsoku/>
              <w:wordWrap/>
              <w:overflowPunct/>
              <w:topLinePunct w:val="0"/>
              <w:autoSpaceDE/>
              <w:autoSpaceDN/>
              <w:bidi w:val="0"/>
              <w:adjustRightInd/>
              <w:snapToGrid/>
              <w:spacing w:line="240" w:lineRule="atLeast"/>
              <w:ind w:left="0" w:leftChars="0" w:right="32" w:rightChars="10" w:firstLine="0" w:firstLineChars="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对整体技术方案进行综合评比，科学、合理、针对性强</w:t>
            </w:r>
            <w:r>
              <w:rPr>
                <w:rFonts w:hint="eastAsia" w:ascii="仿宋" w:hAnsi="仿宋" w:cs="仿宋"/>
                <w:color w:val="auto"/>
                <w:kern w:val="2"/>
                <w:sz w:val="24"/>
                <w:szCs w:val="24"/>
                <w:lang w:val="en-US" w:eastAsia="zh-CN" w:bidi="ar-SA"/>
              </w:rPr>
              <w:t>4-5</w:t>
            </w:r>
            <w:r>
              <w:rPr>
                <w:rFonts w:hint="eastAsia" w:ascii="仿宋" w:hAnsi="仿宋" w:eastAsia="仿宋" w:cs="仿宋"/>
                <w:color w:val="auto"/>
                <w:kern w:val="2"/>
                <w:sz w:val="24"/>
                <w:szCs w:val="24"/>
                <w:lang w:val="en-US" w:eastAsia="zh-CN" w:bidi="ar-SA"/>
              </w:rPr>
              <w:t>分，合理、可行</w:t>
            </w:r>
            <w:r>
              <w:rPr>
                <w:rFonts w:hint="eastAsia" w:ascii="仿宋" w:hAnsi="仿宋" w:cs="仿宋"/>
                <w:color w:val="auto"/>
                <w:kern w:val="2"/>
                <w:sz w:val="24"/>
                <w:szCs w:val="24"/>
                <w:lang w:val="en-US" w:eastAsia="zh-CN" w:bidi="ar-SA"/>
              </w:rPr>
              <w:t>2-3</w:t>
            </w:r>
            <w:r>
              <w:rPr>
                <w:rFonts w:hint="eastAsia" w:ascii="仿宋" w:hAnsi="仿宋" w:eastAsia="仿宋" w:cs="仿宋"/>
                <w:color w:val="auto"/>
                <w:kern w:val="2"/>
                <w:sz w:val="24"/>
                <w:szCs w:val="24"/>
                <w:lang w:val="en-US" w:eastAsia="zh-CN" w:bidi="ar-SA"/>
              </w:rPr>
              <w:t xml:space="preserve">分，欠合理、基本可行 </w:t>
            </w:r>
            <w:r>
              <w:rPr>
                <w:rFonts w:hint="eastAsia" w:ascii="仿宋" w:hAnsi="仿宋" w:cs="仿宋"/>
                <w:color w:val="auto"/>
                <w:kern w:val="2"/>
                <w:sz w:val="24"/>
                <w:szCs w:val="24"/>
                <w:lang w:val="en-US" w:eastAsia="zh-CN" w:bidi="ar-SA"/>
              </w:rPr>
              <w:t>0-1</w:t>
            </w:r>
            <w:r>
              <w:rPr>
                <w:rFonts w:hint="eastAsia" w:ascii="仿宋" w:hAnsi="仿宋" w:eastAsia="仿宋" w:cs="仿宋"/>
                <w:color w:val="auto"/>
                <w:kern w:val="2"/>
                <w:sz w:val="24"/>
                <w:szCs w:val="24"/>
                <w:lang w:val="en-US" w:eastAsia="zh-CN" w:bidi="ar-SA"/>
              </w:rPr>
              <w:t>分，不可行不能满足招标文件要求 0 分</w:t>
            </w:r>
            <w:r>
              <w:rPr>
                <w:rFonts w:hint="eastAsia" w:ascii="仿宋" w:hAnsi="仿宋" w:cs="仿宋"/>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rPr>
            </w:pPr>
          </w:p>
        </w:tc>
        <w:tc>
          <w:tcPr>
            <w:tcW w:w="544" w:type="dxa"/>
            <w:noWrap w:val="0"/>
            <w:vAlign w:val="top"/>
          </w:tcPr>
          <w:p>
            <w:pPr>
              <w:widowControl/>
              <w:spacing w:line="300" w:lineRule="exact"/>
              <w:ind w:firstLine="0" w:firstLineChars="0"/>
              <w:jc w:val="left"/>
              <w:rPr>
                <w:rFonts w:hint="eastAsia"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3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outlineLvl w:val="9"/>
              <w:rPr>
                <w:rFonts w:hint="eastAsia" w:ascii="仿宋" w:hAnsi="仿宋" w:eastAsia="仿宋" w:cs="仿宋"/>
                <w:w w:val="90"/>
                <w:sz w:val="24"/>
                <w:szCs w:val="24"/>
              </w:rPr>
            </w:pPr>
          </w:p>
        </w:tc>
        <w:tc>
          <w:tcPr>
            <w:tcW w:w="881" w:type="dxa"/>
            <w:noWrap w:val="0"/>
            <w:vAlign w:val="center"/>
          </w:tcPr>
          <w:p>
            <w:pPr>
              <w:pStyle w:val="3"/>
              <w:keepNext w:val="0"/>
              <w:keepLines w:val="0"/>
              <w:pageBreakBefore w:val="0"/>
              <w:widowControl w:val="0"/>
              <w:kinsoku/>
              <w:wordWrap/>
              <w:overflowPunct/>
              <w:topLinePunct w:val="0"/>
              <w:autoSpaceDE/>
              <w:autoSpaceDN/>
              <w:bidi w:val="0"/>
              <w:adjustRightInd/>
              <w:spacing w:line="240" w:lineRule="atLeast"/>
              <w:ind w:left="0" w:lef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调试运行方案</w:t>
            </w:r>
          </w:p>
        </w:tc>
        <w:tc>
          <w:tcPr>
            <w:tcW w:w="77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10</w:t>
            </w:r>
          </w:p>
        </w:tc>
        <w:tc>
          <w:tcPr>
            <w:tcW w:w="6225" w:type="dxa"/>
            <w:noWrap w:val="0"/>
            <w:vAlign w:val="center"/>
          </w:tcPr>
          <w:p>
            <w:pPr>
              <w:keepNext w:val="0"/>
              <w:keepLines w:val="0"/>
              <w:pageBreakBefore w:val="0"/>
              <w:widowControl w:val="0"/>
              <w:kinsoku/>
              <w:wordWrap/>
              <w:overflowPunct/>
              <w:topLinePunct w:val="0"/>
              <w:autoSpaceDE/>
              <w:autoSpaceDN/>
              <w:bidi w:val="0"/>
              <w:adjustRightInd/>
              <w:spacing w:line="240" w:lineRule="atLeast"/>
              <w:ind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设备调试、验收方案合理、可行，进行综合比较，优的得</w:t>
            </w:r>
            <w:r>
              <w:rPr>
                <w:rFonts w:hint="eastAsia" w:ascii="仿宋" w:hAnsi="仿宋" w:cs="仿宋"/>
                <w:color w:val="auto"/>
                <w:kern w:val="2"/>
                <w:sz w:val="24"/>
                <w:szCs w:val="24"/>
                <w:lang w:val="en-US" w:eastAsia="zh-CN" w:bidi="ar-SA"/>
              </w:rPr>
              <w:t>8-10</w:t>
            </w:r>
            <w:r>
              <w:rPr>
                <w:rFonts w:hint="eastAsia" w:ascii="仿宋" w:hAnsi="仿宋" w:eastAsia="仿宋" w:cs="仿宋"/>
                <w:color w:val="auto"/>
                <w:kern w:val="2"/>
                <w:sz w:val="24"/>
                <w:szCs w:val="24"/>
                <w:lang w:val="en-US" w:eastAsia="zh-CN" w:bidi="ar-SA"/>
              </w:rPr>
              <w:t>分；合理得</w:t>
            </w:r>
            <w:r>
              <w:rPr>
                <w:rFonts w:hint="eastAsia" w:ascii="仿宋" w:hAnsi="仿宋" w:cs="仿宋"/>
                <w:color w:val="auto"/>
                <w:kern w:val="2"/>
                <w:sz w:val="24"/>
                <w:szCs w:val="24"/>
                <w:lang w:val="en-US" w:eastAsia="zh-CN" w:bidi="ar-SA"/>
              </w:rPr>
              <w:t>4-7</w:t>
            </w:r>
            <w:r>
              <w:rPr>
                <w:rFonts w:hint="eastAsia" w:ascii="仿宋" w:hAnsi="仿宋" w:eastAsia="仿宋" w:cs="仿宋"/>
                <w:color w:val="auto"/>
                <w:kern w:val="2"/>
                <w:sz w:val="24"/>
                <w:szCs w:val="24"/>
                <w:lang w:val="en-US" w:eastAsia="zh-CN" w:bidi="ar-SA"/>
              </w:rPr>
              <w:t>分；一般得</w:t>
            </w:r>
            <w:r>
              <w:rPr>
                <w:rFonts w:hint="eastAsia" w:ascii="仿宋" w:hAnsi="仿宋" w:cs="仿宋"/>
                <w:color w:val="auto"/>
                <w:kern w:val="2"/>
                <w:sz w:val="24"/>
                <w:szCs w:val="24"/>
                <w:lang w:val="en-US" w:eastAsia="zh-CN" w:bidi="ar-SA"/>
              </w:rPr>
              <w:t>0-3</w:t>
            </w:r>
            <w:r>
              <w:rPr>
                <w:rFonts w:hint="eastAsia" w:ascii="仿宋" w:hAnsi="仿宋" w:eastAsia="仿宋" w:cs="仿宋"/>
                <w:color w:val="auto"/>
                <w:kern w:val="2"/>
                <w:sz w:val="24"/>
                <w:szCs w:val="24"/>
                <w:lang w:val="en-US" w:eastAsia="zh-CN" w:bidi="ar-SA"/>
              </w:rPr>
              <w:t>分。</w:t>
            </w:r>
          </w:p>
        </w:tc>
        <w:tc>
          <w:tcPr>
            <w:tcW w:w="544" w:type="dxa"/>
            <w:noWrap w:val="0"/>
            <w:vAlign w:val="top"/>
          </w:tcPr>
          <w:p>
            <w:pPr>
              <w:widowControl/>
              <w:spacing w:line="300" w:lineRule="exact"/>
              <w:ind w:firstLine="0" w:firstLineChars="0"/>
              <w:jc w:val="left"/>
              <w:rPr>
                <w:rFonts w:hint="eastAsia" w:ascii="宋体" w:hAnsi="宋体"/>
                <w:w w:val="90"/>
                <w:sz w:val="28"/>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F9BC2"/>
    <w:multiLevelType w:val="singleLevel"/>
    <w:tmpl w:val="F3CF9B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MThkOTA0NDNiOWQ0OTY2OThiMTFmZjMyNWM3YWEifQ=="/>
  </w:docVars>
  <w:rsids>
    <w:rsidRoot w:val="00000000"/>
    <w:rsid w:val="44C6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outlineLvl w:val="0"/>
    </w:pPr>
    <w:rPr>
      <w:rFonts w:eastAsia="仿宋_GB2312"/>
      <w:b/>
      <w:sz w:val="24"/>
      <w:szCs w:val="20"/>
    </w:rPr>
  </w:style>
  <w:style w:type="paragraph" w:styleId="3">
    <w:name w:val="table of authorities"/>
    <w:basedOn w:val="1"/>
    <w:next w:val="1"/>
    <w:unhideWhenUsed/>
    <w:qFormat/>
    <w:uiPriority w:val="99"/>
    <w:pPr>
      <w:ind w:left="420" w:leftChars="200"/>
    </w:pPr>
    <w:rPr>
      <w:rFonts w:ascii="Calibri" w:hAnsi="Calibri"/>
      <w:szCs w:val="20"/>
    </w:rPr>
  </w:style>
  <w:style w:type="paragraph" w:styleId="4">
    <w:name w:val="Body Text"/>
    <w:basedOn w:val="1"/>
    <w:qFormat/>
    <w:uiPriority w:val="1"/>
    <w:rPr>
      <w:sz w:val="21"/>
      <w:szCs w:val="21"/>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2024-05-21T06:50:48Z</dcterms:created>
  <dc:creator>Administrator</dc:creator>
  <cp:lastModifiedBy>张鑫</cp:lastModifiedBy>
  <dcterms:modified xsi:type="dcterms:W3CDTF">2024-05-21T06:50:52Z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82F76D3AF97249A78371EA7BE11E9DCD_12</vt:lpwstr>
  </property>
</Properties>
</file>