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0" w:beforeAutospacing="0" w:afterAutospacing="0"/>
        <w:ind w:firstLine="640"/>
        <w:jc w:val="both"/>
        <w:rPr>
          <w:rFonts w:hint="eastAsia" w:ascii="仿宋" w:hAnsi="仿宋" w:cs="仿宋"/>
          <w:kern w:val="2"/>
          <w:sz w:val="32"/>
          <w:szCs w:val="32"/>
        </w:rPr>
      </w:pPr>
      <w:r>
        <w:rPr>
          <w:rFonts w:hint="eastAsia" w:ascii="仿宋" w:hAnsi="仿宋" w:cs="仿宋"/>
          <w:kern w:val="2"/>
          <w:sz w:val="32"/>
          <w:szCs w:val="32"/>
        </w:rPr>
        <w:t>附表：</w:t>
      </w:r>
    </w:p>
    <w:p>
      <w:pPr>
        <w:pStyle w:val="4"/>
        <w:widowControl/>
        <w:spacing w:before="0" w:beforeAutospacing="0" w:afterAutospacing="0"/>
        <w:ind w:firstLine="720"/>
        <w:jc w:val="center"/>
        <w:rPr>
          <w:rFonts w:hint="eastAsia" w:ascii="楷体" w:hAnsi="楷体" w:eastAsia="楷体" w:cs="楷体"/>
          <w:kern w:val="2"/>
          <w:sz w:val="36"/>
          <w:szCs w:val="36"/>
        </w:rPr>
      </w:pPr>
      <w:r>
        <w:rPr>
          <w:rFonts w:hint="eastAsia" w:ascii="楷体" w:hAnsi="楷体" w:eastAsia="楷体" w:cs="楷体"/>
          <w:kern w:val="2"/>
          <w:sz w:val="36"/>
          <w:szCs w:val="36"/>
        </w:rPr>
        <w:t>评分表</w:t>
      </w:r>
    </w:p>
    <w:tbl>
      <w:tblPr>
        <w:tblStyle w:val="5"/>
        <w:tblpPr w:leftFromText="180" w:rightFromText="180" w:vertAnchor="text" w:horzAnchor="page" w:tblpX="1284" w:tblpY="451"/>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42"/>
        <w:gridCol w:w="656"/>
        <w:gridCol w:w="6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pPr>
              <w:widowControl/>
              <w:ind w:firstLine="0" w:firstLineChars="0"/>
              <w:jc w:val="left"/>
              <w:rPr>
                <w:rFonts w:ascii="宋体" w:hAnsi="宋体" w:cs="宋体"/>
                <w:b/>
                <w:bCs/>
                <w:color w:val="000000"/>
                <w:kern w:val="0"/>
                <w:sz w:val="18"/>
                <w:szCs w:val="18"/>
              </w:rPr>
            </w:pPr>
            <w:r>
              <w:rPr>
                <w:rFonts w:hint="eastAsia" w:ascii="宋体" w:hAnsi="宋体" w:cs="宋体"/>
                <w:b/>
                <w:bCs/>
                <w:color w:val="000000"/>
                <w:kern w:val="0"/>
                <w:sz w:val="18"/>
                <w:szCs w:val="18"/>
              </w:rPr>
              <w:t>评分项目</w:t>
            </w:r>
          </w:p>
        </w:tc>
        <w:tc>
          <w:tcPr>
            <w:tcW w:w="842" w:type="dxa"/>
            <w:noWrap w:val="0"/>
            <w:vAlign w:val="center"/>
          </w:tcPr>
          <w:p>
            <w:pPr>
              <w:widowControl/>
              <w:ind w:firstLine="0" w:firstLineChars="0"/>
              <w:jc w:val="left"/>
              <w:rPr>
                <w:rFonts w:ascii="宋体" w:hAnsi="宋体" w:cs="宋体"/>
                <w:b/>
                <w:bCs/>
                <w:color w:val="000000"/>
                <w:kern w:val="0"/>
                <w:sz w:val="18"/>
                <w:szCs w:val="18"/>
              </w:rPr>
            </w:pPr>
            <w:r>
              <w:rPr>
                <w:rFonts w:hint="eastAsia" w:ascii="宋体" w:hAnsi="宋体" w:cs="宋体"/>
                <w:b/>
                <w:bCs/>
                <w:color w:val="000000"/>
                <w:kern w:val="0"/>
                <w:sz w:val="18"/>
                <w:szCs w:val="18"/>
              </w:rPr>
              <w:t>评分内容</w:t>
            </w:r>
          </w:p>
        </w:tc>
        <w:tc>
          <w:tcPr>
            <w:tcW w:w="656" w:type="dxa"/>
            <w:noWrap w:val="0"/>
            <w:vAlign w:val="center"/>
          </w:tcPr>
          <w:p>
            <w:pPr>
              <w:widowControl/>
              <w:ind w:firstLine="0" w:firstLineChars="0"/>
              <w:jc w:val="left"/>
              <w:rPr>
                <w:rFonts w:ascii="宋体" w:hAnsi="宋体" w:cs="宋体"/>
                <w:b/>
                <w:bCs/>
                <w:color w:val="000000"/>
                <w:kern w:val="0"/>
                <w:sz w:val="18"/>
                <w:szCs w:val="18"/>
              </w:rPr>
            </w:pPr>
            <w:r>
              <w:rPr>
                <w:rFonts w:hint="eastAsia" w:ascii="宋体" w:hAnsi="宋体" w:cs="宋体"/>
                <w:b/>
                <w:bCs/>
                <w:color w:val="000000"/>
                <w:kern w:val="0"/>
                <w:sz w:val="18"/>
                <w:szCs w:val="18"/>
              </w:rPr>
              <w:t>分值</w:t>
            </w:r>
          </w:p>
        </w:tc>
        <w:tc>
          <w:tcPr>
            <w:tcW w:w="6865" w:type="dxa"/>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评分参考细则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noWrap w:val="0"/>
            <w:vAlign w:val="center"/>
          </w:tcPr>
          <w:p>
            <w:pPr>
              <w:widowControl/>
              <w:spacing w:line="276" w:lineRule="auto"/>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价格部分（</w:t>
            </w:r>
            <w:r>
              <w:rPr>
                <w:rFonts w:hint="eastAsia" w:ascii="宋体" w:hAnsi="宋体" w:cs="宋体"/>
                <w:color w:val="000000"/>
                <w:kern w:val="0"/>
                <w:sz w:val="18"/>
                <w:szCs w:val="18"/>
                <w:highlight w:val="none"/>
                <w:lang w:val="en-US" w:eastAsia="zh-CN"/>
              </w:rPr>
              <w:t>30</w:t>
            </w:r>
            <w:r>
              <w:rPr>
                <w:rFonts w:hint="eastAsia" w:ascii="宋体" w:hAnsi="宋体" w:cs="宋体"/>
                <w:color w:val="000000"/>
                <w:kern w:val="0"/>
                <w:sz w:val="18"/>
                <w:szCs w:val="18"/>
                <w:highlight w:val="none"/>
              </w:rPr>
              <w:t>分）</w:t>
            </w:r>
          </w:p>
        </w:tc>
        <w:tc>
          <w:tcPr>
            <w:tcW w:w="842" w:type="dxa"/>
            <w:noWrap w:val="0"/>
            <w:vAlign w:val="center"/>
          </w:tcPr>
          <w:p>
            <w:pPr>
              <w:spacing w:line="276" w:lineRule="auto"/>
              <w:jc w:val="left"/>
              <w:rPr>
                <w:rFonts w:hint="eastAsia" w:ascii="宋体" w:hAnsi="宋体" w:cs="宋体"/>
                <w:sz w:val="18"/>
                <w:szCs w:val="18"/>
                <w:highlight w:val="none"/>
              </w:rPr>
            </w:pPr>
            <w:r>
              <w:rPr>
                <w:rFonts w:hint="eastAsia" w:ascii="宋体" w:hAnsi="宋体" w:cs="宋体"/>
                <w:bCs/>
                <w:sz w:val="18"/>
                <w:szCs w:val="18"/>
                <w:highlight w:val="none"/>
              </w:rPr>
              <w:t>报价得分</w:t>
            </w:r>
          </w:p>
        </w:tc>
        <w:tc>
          <w:tcPr>
            <w:tcW w:w="656" w:type="dxa"/>
            <w:noWrap w:val="0"/>
            <w:vAlign w:val="center"/>
          </w:tcPr>
          <w:p>
            <w:pPr>
              <w:spacing w:line="276" w:lineRule="auto"/>
              <w:jc w:val="left"/>
              <w:rPr>
                <w:rFonts w:hint="eastAsia" w:ascii="宋体" w:hAnsi="宋体" w:cs="宋体"/>
                <w:sz w:val="18"/>
                <w:szCs w:val="18"/>
                <w:highlight w:val="none"/>
              </w:rPr>
            </w:pPr>
            <w:r>
              <w:rPr>
                <w:rFonts w:hint="eastAsia" w:ascii="宋体" w:hAnsi="宋体" w:cs="宋体"/>
                <w:sz w:val="18"/>
                <w:szCs w:val="18"/>
                <w:highlight w:val="none"/>
                <w:lang w:val="en-US" w:eastAsia="zh-CN"/>
              </w:rPr>
              <w:t>30</w:t>
            </w:r>
            <w:r>
              <w:rPr>
                <w:rFonts w:hint="eastAsia" w:ascii="宋体" w:hAnsi="宋体" w:cs="宋体"/>
                <w:sz w:val="18"/>
                <w:szCs w:val="18"/>
                <w:highlight w:val="none"/>
              </w:rPr>
              <w:t>分</w:t>
            </w:r>
          </w:p>
        </w:tc>
        <w:tc>
          <w:tcPr>
            <w:tcW w:w="6865" w:type="dxa"/>
            <w:noWrap w:val="0"/>
            <w:vAlign w:val="center"/>
          </w:tcPr>
          <w:p>
            <w:pPr>
              <w:widowControl/>
              <w:spacing w:line="276" w:lineRule="auto"/>
              <w:ind w:right="-205" w:rightChars="-64"/>
              <w:jc w:val="left"/>
              <w:rPr>
                <w:rFonts w:hint="eastAsia" w:ascii="宋体" w:hAnsi="宋体" w:cs="宋体"/>
                <w:kern w:val="0"/>
                <w:sz w:val="18"/>
                <w:szCs w:val="18"/>
                <w:highlight w:val="none"/>
              </w:rPr>
            </w:pPr>
            <w:r>
              <w:rPr>
                <w:rFonts w:hint="eastAsia" w:ascii="宋体" w:hAnsi="宋体" w:cs="宋体"/>
                <w:kern w:val="0"/>
                <w:sz w:val="18"/>
                <w:szCs w:val="18"/>
                <w:highlight w:val="none"/>
              </w:rPr>
              <w:t>评标基准价为参与评审的合格投标单位（不小于五家）的报价中去掉一个最高和一个最低报价后的算术平均值为评标基准价。若有效投标报价少于五家（不含五家）时，则以所有有效投标报价的算术平均值为评标基准价。</w:t>
            </w:r>
          </w:p>
          <w:p>
            <w:pPr>
              <w:widowControl/>
              <w:spacing w:line="276" w:lineRule="auto"/>
              <w:ind w:right="-205" w:rightChars="-64"/>
              <w:jc w:val="left"/>
              <w:rPr>
                <w:rFonts w:hint="eastAsia" w:ascii="宋体" w:hAnsi="宋体" w:cs="宋体"/>
                <w:kern w:val="0"/>
                <w:sz w:val="18"/>
                <w:szCs w:val="18"/>
                <w:highlight w:val="none"/>
              </w:rPr>
            </w:pPr>
            <w:r>
              <w:rPr>
                <w:rFonts w:hint="eastAsia" w:ascii="宋体" w:hAnsi="宋体" w:cs="宋体"/>
                <w:kern w:val="0"/>
                <w:sz w:val="18"/>
                <w:szCs w:val="18"/>
                <w:highlight w:val="none"/>
              </w:rPr>
              <w:t>投标报价得分计算方法：</w:t>
            </w:r>
          </w:p>
          <w:p>
            <w:pPr>
              <w:widowControl/>
              <w:spacing w:line="276" w:lineRule="auto"/>
              <w:ind w:right="-205" w:rightChars="-64"/>
              <w:jc w:val="left"/>
              <w:rPr>
                <w:rFonts w:hint="eastAsia" w:ascii="宋体" w:hAnsi="宋体" w:cs="宋体"/>
                <w:kern w:val="0"/>
                <w:sz w:val="18"/>
                <w:szCs w:val="18"/>
                <w:highlight w:val="none"/>
              </w:rPr>
            </w:pPr>
            <w:r>
              <w:rPr>
                <w:rFonts w:hint="eastAsia" w:ascii="宋体" w:hAnsi="宋体" w:cs="宋体"/>
                <w:kern w:val="0"/>
                <w:sz w:val="18"/>
                <w:szCs w:val="18"/>
                <w:highlight w:val="none"/>
              </w:rPr>
              <w:t>1. 当投标人评标价＞评标基准价时</w:t>
            </w:r>
          </w:p>
          <w:p>
            <w:pPr>
              <w:widowControl/>
              <w:spacing w:line="276" w:lineRule="auto"/>
              <w:ind w:right="-205" w:rightChars="-64"/>
              <w:jc w:val="left"/>
              <w:rPr>
                <w:rFonts w:hint="eastAsia" w:ascii="宋体" w:hAnsi="宋体" w:cs="宋体"/>
                <w:kern w:val="0"/>
                <w:sz w:val="18"/>
                <w:szCs w:val="18"/>
                <w:highlight w:val="none"/>
              </w:rPr>
            </w:pPr>
            <w:r>
              <w:rPr>
                <w:rFonts w:hint="eastAsia" w:ascii="宋体" w:hAnsi="宋体" w:cs="宋体"/>
                <w:kern w:val="0"/>
                <w:sz w:val="18"/>
                <w:szCs w:val="18"/>
                <w:highlight w:val="none"/>
              </w:rPr>
              <w:t>F＝</w:t>
            </w:r>
            <w:r>
              <w:rPr>
                <w:rFonts w:hint="eastAsia" w:ascii="宋体" w:hAnsi="宋体" w:cs="宋体"/>
                <w:kern w:val="0"/>
                <w:sz w:val="18"/>
                <w:szCs w:val="18"/>
                <w:highlight w:val="none"/>
                <w:lang w:val="en-US" w:eastAsia="zh-CN"/>
              </w:rPr>
              <w:t>3</w:t>
            </w:r>
            <w:r>
              <w:rPr>
                <w:rFonts w:hint="eastAsia" w:ascii="宋体" w:hAnsi="宋体" w:cs="宋体"/>
                <w:kern w:val="0"/>
                <w:sz w:val="18"/>
                <w:szCs w:val="18"/>
                <w:highlight w:val="none"/>
              </w:rPr>
              <w:t>0－︱投标人评标价－评标基准价︱÷评标基准价×100×M</w:t>
            </w:r>
          </w:p>
          <w:p>
            <w:pPr>
              <w:widowControl/>
              <w:spacing w:line="276" w:lineRule="auto"/>
              <w:ind w:right="-205" w:rightChars="-64"/>
              <w:jc w:val="left"/>
              <w:rPr>
                <w:rFonts w:hint="eastAsia" w:ascii="宋体" w:hAnsi="宋体" w:cs="宋体"/>
                <w:kern w:val="0"/>
                <w:sz w:val="18"/>
                <w:szCs w:val="18"/>
                <w:highlight w:val="none"/>
              </w:rPr>
            </w:pPr>
            <w:r>
              <w:rPr>
                <w:rFonts w:hint="eastAsia" w:ascii="宋体" w:hAnsi="宋体" w:cs="宋体"/>
                <w:kern w:val="0"/>
                <w:sz w:val="18"/>
                <w:szCs w:val="18"/>
                <w:highlight w:val="none"/>
              </w:rPr>
              <w:t>2.当投标人评标价＜评标基准价时</w:t>
            </w:r>
          </w:p>
          <w:p>
            <w:pPr>
              <w:widowControl/>
              <w:spacing w:line="276" w:lineRule="auto"/>
              <w:ind w:right="-205" w:rightChars="-64"/>
              <w:jc w:val="left"/>
              <w:rPr>
                <w:rFonts w:hint="eastAsia" w:ascii="宋体" w:hAnsi="宋体" w:cs="宋体"/>
                <w:kern w:val="0"/>
                <w:sz w:val="18"/>
                <w:szCs w:val="18"/>
                <w:highlight w:val="none"/>
              </w:rPr>
            </w:pPr>
            <w:r>
              <w:rPr>
                <w:rFonts w:hint="eastAsia" w:ascii="宋体" w:hAnsi="宋体" w:cs="宋体"/>
                <w:kern w:val="0"/>
                <w:sz w:val="18"/>
                <w:szCs w:val="18"/>
                <w:highlight w:val="none"/>
              </w:rPr>
              <w:t>F＝</w:t>
            </w:r>
            <w:r>
              <w:rPr>
                <w:rFonts w:hint="eastAsia" w:ascii="宋体" w:hAnsi="宋体" w:cs="宋体"/>
                <w:kern w:val="0"/>
                <w:sz w:val="18"/>
                <w:szCs w:val="18"/>
                <w:highlight w:val="none"/>
                <w:lang w:val="en-US" w:eastAsia="zh-CN"/>
              </w:rPr>
              <w:t>3</w:t>
            </w:r>
            <w:r>
              <w:rPr>
                <w:rFonts w:hint="eastAsia" w:ascii="宋体" w:hAnsi="宋体" w:cs="宋体"/>
                <w:kern w:val="0"/>
                <w:sz w:val="18"/>
                <w:szCs w:val="18"/>
                <w:highlight w:val="none"/>
              </w:rPr>
              <w:t>0－︱投标人评标价－评标基准价︱÷评标基准价×100×N</w:t>
            </w:r>
          </w:p>
          <w:p>
            <w:pPr>
              <w:widowControl/>
              <w:spacing w:line="276" w:lineRule="auto"/>
              <w:ind w:right="-205" w:rightChars="-64"/>
              <w:jc w:val="left"/>
              <w:rPr>
                <w:rFonts w:hint="eastAsia" w:eastAsia="宋体"/>
                <w:sz w:val="18"/>
                <w:szCs w:val="18"/>
                <w:highlight w:val="none"/>
                <w:lang w:eastAsia="zh-CN"/>
              </w:rPr>
            </w:pPr>
            <w:r>
              <w:rPr>
                <w:rFonts w:hint="eastAsia" w:ascii="宋体" w:hAnsi="宋体" w:cs="宋体"/>
                <w:kern w:val="0"/>
                <w:sz w:val="18"/>
                <w:szCs w:val="18"/>
                <w:highlight w:val="none"/>
              </w:rPr>
              <w:t>其中：F: 为投标报价得分，F≥0； M、N: 是评标价每低于或高于评标基准价一个百分点的扣分值，M、N分别取值为0.</w:t>
            </w:r>
            <w:r>
              <w:rPr>
                <w:rFonts w:hint="eastAsia" w:ascii="宋体" w:hAnsi="宋体" w:cs="宋体"/>
                <w:kern w:val="0"/>
                <w:sz w:val="18"/>
                <w:szCs w:val="18"/>
                <w:highlight w:val="none"/>
                <w:lang w:val="en-US" w:eastAsia="zh-CN"/>
              </w:rPr>
              <w:t>2</w:t>
            </w:r>
            <w:r>
              <w:rPr>
                <w:rFonts w:hint="eastAsia" w:ascii="宋体" w:hAnsi="宋体" w:cs="宋体"/>
                <w:kern w:val="0"/>
                <w:sz w:val="18"/>
                <w:szCs w:val="18"/>
                <w:highlight w:val="none"/>
              </w:rPr>
              <w:t xml:space="preserve"> 、 0.</w:t>
            </w:r>
            <w:r>
              <w:rPr>
                <w:rFonts w:hint="eastAsia" w:ascii="宋体" w:hAnsi="宋体" w:cs="宋体"/>
                <w:kern w:val="0"/>
                <w:sz w:val="18"/>
                <w:szCs w:val="1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vMerge w:val="restart"/>
            <w:noWrap w:val="0"/>
            <w:vAlign w:val="center"/>
          </w:tcPr>
          <w:p>
            <w:pPr>
              <w:widowControl/>
              <w:spacing w:line="276" w:lineRule="auto"/>
              <w:jc w:val="left"/>
              <w:rPr>
                <w:rFonts w:hint="eastAsia" w:ascii="宋体" w:hAnsi="宋体" w:eastAsia="宋体" w:cs="宋体"/>
                <w:color w:val="000000"/>
                <w:kern w:val="0"/>
                <w:sz w:val="18"/>
                <w:szCs w:val="18"/>
                <w:highlight w:val="none"/>
                <w:lang w:val="en-US" w:eastAsia="zh-CN"/>
              </w:rPr>
            </w:pPr>
            <w:r>
              <w:rPr>
                <w:rFonts w:ascii="宋体" w:hAnsi="宋体" w:cs="宋体"/>
                <w:color w:val="000000"/>
                <w:kern w:val="0"/>
                <w:sz w:val="18"/>
                <w:szCs w:val="18"/>
                <w:highlight w:val="none"/>
              </w:rPr>
              <w:t>商务</w:t>
            </w:r>
            <w:r>
              <w:rPr>
                <w:rFonts w:hint="eastAsia" w:ascii="宋体" w:hAnsi="宋体" w:cs="宋体"/>
                <w:color w:val="000000"/>
                <w:kern w:val="0"/>
                <w:sz w:val="18"/>
                <w:szCs w:val="18"/>
                <w:highlight w:val="none"/>
                <w:lang w:eastAsia="zh-CN"/>
              </w:rPr>
              <w:t>部分（</w:t>
            </w:r>
            <w:r>
              <w:rPr>
                <w:rFonts w:hint="eastAsia" w:ascii="宋体" w:hAnsi="宋体" w:cs="宋体"/>
                <w:color w:val="000000"/>
                <w:kern w:val="0"/>
                <w:sz w:val="18"/>
                <w:szCs w:val="18"/>
                <w:highlight w:val="none"/>
                <w:lang w:val="en-US" w:eastAsia="zh-CN"/>
              </w:rPr>
              <w:t>30</w:t>
            </w:r>
            <w:r>
              <w:rPr>
                <w:rFonts w:hint="eastAsia" w:ascii="宋体" w:hAnsi="宋体" w:cs="宋体"/>
                <w:color w:val="000000"/>
                <w:kern w:val="0"/>
                <w:sz w:val="18"/>
                <w:szCs w:val="18"/>
                <w:highlight w:val="none"/>
                <w:lang w:eastAsia="zh-CN"/>
              </w:rPr>
              <w:t>）</w:t>
            </w:r>
          </w:p>
        </w:tc>
        <w:tc>
          <w:tcPr>
            <w:tcW w:w="842" w:type="dxa"/>
            <w:noWrap w:val="0"/>
            <w:vAlign w:val="center"/>
          </w:tcPr>
          <w:p>
            <w:pPr>
              <w:widowControl/>
              <w:spacing w:line="276" w:lineRule="auto"/>
              <w:ind w:right="-205" w:rightChars="-64"/>
              <w:jc w:val="left"/>
              <w:rPr>
                <w:rFonts w:hint="eastAsia" w:ascii="宋体" w:hAnsi="宋体" w:cs="宋体"/>
                <w:bCs/>
                <w:sz w:val="18"/>
                <w:szCs w:val="18"/>
                <w:highlight w:val="none"/>
              </w:rPr>
            </w:pPr>
            <w:r>
              <w:rPr>
                <w:rFonts w:hint="eastAsia" w:ascii="宋体" w:hAnsi="宋体" w:cs="宋体"/>
                <w:kern w:val="0"/>
                <w:sz w:val="18"/>
                <w:szCs w:val="18"/>
                <w:highlight w:val="none"/>
              </w:rPr>
              <w:t>企业类似项目业绩</w:t>
            </w:r>
          </w:p>
        </w:tc>
        <w:tc>
          <w:tcPr>
            <w:tcW w:w="656" w:type="dxa"/>
            <w:noWrap w:val="0"/>
            <w:vAlign w:val="center"/>
          </w:tcPr>
          <w:p>
            <w:pPr>
              <w:widowControl/>
              <w:spacing w:line="276" w:lineRule="auto"/>
              <w:ind w:right="-205" w:rightChars="-64"/>
              <w:jc w:val="left"/>
              <w:rPr>
                <w:rFonts w:hint="eastAsia" w:ascii="宋体" w:hAnsi="宋体" w:cs="宋体"/>
                <w:sz w:val="18"/>
                <w:szCs w:val="18"/>
                <w:highlight w:val="none"/>
              </w:rPr>
            </w:pPr>
            <w:r>
              <w:rPr>
                <w:rFonts w:hint="eastAsia" w:ascii="宋体" w:hAnsi="宋体" w:cs="宋体"/>
                <w:kern w:val="0"/>
                <w:sz w:val="18"/>
                <w:szCs w:val="18"/>
                <w:highlight w:val="none"/>
              </w:rPr>
              <w:t>10</w:t>
            </w:r>
          </w:p>
        </w:tc>
        <w:tc>
          <w:tcPr>
            <w:tcW w:w="6865" w:type="dxa"/>
            <w:noWrap w:val="0"/>
            <w:vAlign w:val="center"/>
          </w:tcPr>
          <w:p>
            <w:pPr>
              <w:widowControl/>
              <w:spacing w:line="276" w:lineRule="auto"/>
              <w:ind w:right="-205" w:rightChars="-64"/>
              <w:jc w:val="left"/>
              <w:rPr>
                <w:rFonts w:hint="eastAsia"/>
                <w:sz w:val="18"/>
                <w:szCs w:val="18"/>
                <w:highlight w:val="none"/>
              </w:rPr>
            </w:pPr>
            <w:r>
              <w:rPr>
                <w:rFonts w:hint="eastAsia" w:ascii="宋体" w:hAnsi="宋体" w:cs="宋体"/>
                <w:kern w:val="0"/>
                <w:sz w:val="18"/>
                <w:szCs w:val="18"/>
                <w:highlight w:val="none"/>
              </w:rPr>
              <w:t>投标人近3年承担过1项（含在建项目）建安费</w:t>
            </w:r>
            <w:r>
              <w:rPr>
                <w:rFonts w:hint="eastAsia" w:ascii="宋体" w:hAnsi="宋体" w:cs="宋体"/>
                <w:kern w:val="0"/>
                <w:sz w:val="18"/>
                <w:szCs w:val="18"/>
                <w:highlight w:val="none"/>
                <w:lang w:eastAsia="zh-CN"/>
              </w:rPr>
              <w:t>在</w:t>
            </w:r>
            <w:r>
              <w:rPr>
                <w:rFonts w:hint="eastAsia" w:ascii="宋体" w:hAnsi="宋体" w:cs="宋体"/>
                <w:kern w:val="0"/>
                <w:sz w:val="18"/>
                <w:szCs w:val="18"/>
                <w:highlight w:val="none"/>
                <w:lang w:val="en-US" w:eastAsia="zh-CN"/>
              </w:rPr>
              <w:t>2000万元</w:t>
            </w:r>
            <w:r>
              <w:rPr>
                <w:rFonts w:hint="eastAsia" w:ascii="宋体" w:hAnsi="宋体" w:cs="宋体"/>
                <w:kern w:val="0"/>
                <w:sz w:val="18"/>
                <w:szCs w:val="18"/>
                <w:highlight w:val="none"/>
              </w:rPr>
              <w:t>及以上市政工程造价咨询项目</w:t>
            </w:r>
            <w:r>
              <w:rPr>
                <w:rFonts w:ascii="宋体" w:hAnsi="宋体" w:cs="宋体"/>
                <w:kern w:val="0"/>
                <w:sz w:val="18"/>
                <w:szCs w:val="18"/>
                <w:highlight w:val="none"/>
              </w:rPr>
              <w:t>业绩</w:t>
            </w:r>
            <w:r>
              <w:rPr>
                <w:rFonts w:hint="eastAsia" w:ascii="宋体" w:hAnsi="宋体" w:cs="宋体"/>
                <w:bCs/>
                <w:sz w:val="18"/>
                <w:szCs w:val="18"/>
                <w:highlight w:val="none"/>
              </w:rPr>
              <w:t>得</w:t>
            </w:r>
            <w:r>
              <w:rPr>
                <w:rFonts w:hint="eastAsia" w:ascii="宋体" w:hAnsi="宋体" w:cs="宋体"/>
                <w:bCs/>
                <w:sz w:val="18"/>
                <w:szCs w:val="18"/>
                <w:highlight w:val="none"/>
                <w:lang w:val="en-US" w:eastAsia="zh-CN"/>
              </w:rPr>
              <w:t>0</w:t>
            </w:r>
            <w:r>
              <w:rPr>
                <w:rFonts w:hint="eastAsia" w:ascii="宋体" w:hAnsi="宋体" w:cs="宋体"/>
                <w:bCs/>
                <w:sz w:val="18"/>
                <w:szCs w:val="18"/>
                <w:highlight w:val="none"/>
              </w:rPr>
              <w:t>分</w:t>
            </w:r>
            <w:r>
              <w:rPr>
                <w:rFonts w:hint="eastAsia" w:ascii="宋体" w:hAnsi="宋体" w:cs="宋体"/>
                <w:kern w:val="0"/>
                <w:sz w:val="18"/>
                <w:szCs w:val="18"/>
                <w:highlight w:val="none"/>
              </w:rPr>
              <w:t>，每增加一个加2分，最多得10分（同一合同分为不同标段的只作一项计算）；需提供咨询合同或委托书</w:t>
            </w:r>
            <w:r>
              <w:rPr>
                <w:rFonts w:hint="eastAsia" w:ascii="宋体" w:hAnsi="宋体" w:cs="宋体"/>
                <w:kern w:val="0"/>
                <w:sz w:val="18"/>
                <w:szCs w:val="18"/>
                <w:highlight w:val="none"/>
                <w:lang w:eastAsia="zh-CN"/>
              </w:rPr>
              <w:t>或</w:t>
            </w:r>
            <w:r>
              <w:rPr>
                <w:rFonts w:hint="eastAsia" w:ascii="宋体" w:hAnsi="宋体" w:cs="宋体"/>
                <w:kern w:val="0"/>
                <w:sz w:val="18"/>
                <w:szCs w:val="18"/>
                <w:highlight w:val="none"/>
              </w:rPr>
              <w:t>中标通知书，以有效证明文件的落款时间为准。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vMerge w:val="continue"/>
            <w:noWrap w:val="0"/>
            <w:vAlign w:val="center"/>
          </w:tcPr>
          <w:p>
            <w:pPr>
              <w:widowControl/>
              <w:spacing w:line="276" w:lineRule="auto"/>
              <w:jc w:val="left"/>
              <w:rPr>
                <w:rFonts w:hint="eastAsia" w:ascii="宋体" w:hAnsi="宋体" w:cs="宋体"/>
                <w:color w:val="000000"/>
                <w:kern w:val="0"/>
                <w:sz w:val="18"/>
                <w:szCs w:val="18"/>
                <w:highlight w:val="none"/>
              </w:rPr>
            </w:pPr>
          </w:p>
        </w:tc>
        <w:tc>
          <w:tcPr>
            <w:tcW w:w="842" w:type="dxa"/>
            <w:noWrap w:val="0"/>
            <w:vAlign w:val="center"/>
          </w:tcPr>
          <w:p>
            <w:pPr>
              <w:widowControl/>
              <w:spacing w:line="276" w:lineRule="auto"/>
              <w:ind w:right="-205" w:rightChars="-64"/>
              <w:jc w:val="left"/>
              <w:rPr>
                <w:rFonts w:hint="eastAsia" w:ascii="宋体" w:hAnsi="宋体" w:cs="宋体"/>
                <w:bCs/>
                <w:sz w:val="18"/>
                <w:szCs w:val="18"/>
                <w:highlight w:val="none"/>
              </w:rPr>
            </w:pPr>
            <w:r>
              <w:rPr>
                <w:rFonts w:hint="eastAsia" w:ascii="宋体" w:hAnsi="宋体" w:cs="宋体"/>
                <w:kern w:val="0"/>
                <w:sz w:val="18"/>
                <w:szCs w:val="18"/>
                <w:highlight w:val="none"/>
              </w:rPr>
              <w:t>项目负责人</w:t>
            </w:r>
          </w:p>
        </w:tc>
        <w:tc>
          <w:tcPr>
            <w:tcW w:w="656" w:type="dxa"/>
            <w:noWrap w:val="0"/>
            <w:vAlign w:val="center"/>
          </w:tcPr>
          <w:p>
            <w:pPr>
              <w:widowControl/>
              <w:spacing w:line="276" w:lineRule="auto"/>
              <w:ind w:right="-205" w:rightChars="-64" w:firstLine="90" w:firstLineChars="50"/>
              <w:jc w:val="left"/>
              <w:rPr>
                <w:rFonts w:hint="eastAsia" w:ascii="宋体" w:hAnsi="宋体" w:cs="宋体"/>
                <w:sz w:val="18"/>
                <w:szCs w:val="18"/>
                <w:highlight w:val="none"/>
              </w:rPr>
            </w:pPr>
            <w:r>
              <w:rPr>
                <w:rFonts w:hint="eastAsia" w:ascii="宋体" w:hAnsi="宋体" w:cs="宋体"/>
                <w:kern w:val="0"/>
                <w:sz w:val="18"/>
                <w:szCs w:val="18"/>
                <w:highlight w:val="none"/>
              </w:rPr>
              <w:t>10</w:t>
            </w:r>
          </w:p>
        </w:tc>
        <w:tc>
          <w:tcPr>
            <w:tcW w:w="6865" w:type="dxa"/>
            <w:noWrap w:val="0"/>
            <w:vAlign w:val="center"/>
          </w:tcPr>
          <w:p>
            <w:pPr>
              <w:widowControl/>
              <w:spacing w:line="276" w:lineRule="auto"/>
              <w:ind w:right="-205" w:rightChars="-64"/>
              <w:jc w:val="left"/>
              <w:rPr>
                <w:rFonts w:ascii="宋体" w:hAnsi="宋体" w:cs="宋体"/>
                <w:kern w:val="0"/>
                <w:sz w:val="18"/>
                <w:szCs w:val="18"/>
                <w:highlight w:val="none"/>
              </w:rPr>
            </w:pPr>
            <w:r>
              <w:rPr>
                <w:rFonts w:hint="eastAsia" w:ascii="宋体" w:hAnsi="宋体" w:cs="宋体"/>
                <w:kern w:val="0"/>
                <w:sz w:val="18"/>
                <w:szCs w:val="18"/>
                <w:highlight w:val="none"/>
              </w:rPr>
              <w:t>1、项目负责人具备单项合同投资</w:t>
            </w:r>
            <w:r>
              <w:rPr>
                <w:rFonts w:hint="eastAsia" w:ascii="宋体" w:hAnsi="宋体" w:cs="宋体"/>
                <w:kern w:val="0"/>
                <w:sz w:val="18"/>
                <w:szCs w:val="18"/>
                <w:highlight w:val="none"/>
                <w:lang w:val="en-US" w:eastAsia="zh-CN"/>
              </w:rPr>
              <w:t>2000万元</w:t>
            </w:r>
            <w:r>
              <w:rPr>
                <w:rFonts w:hint="eastAsia" w:ascii="宋体" w:hAnsi="宋体" w:cs="宋体"/>
                <w:kern w:val="0"/>
                <w:sz w:val="18"/>
                <w:szCs w:val="18"/>
                <w:highlight w:val="none"/>
              </w:rPr>
              <w:t>及以上市政工程造价咨询（项目业绩，1个得2分，最多得8分；（需提供咨询合同、咨询报告等证明文件能够证明项目负责人，并加盖单位公章）证明文件注有拟派本项目负责人姓名。</w:t>
            </w:r>
          </w:p>
          <w:p>
            <w:pPr>
              <w:widowControl/>
              <w:spacing w:line="276" w:lineRule="auto"/>
              <w:ind w:right="-205" w:rightChars="-64"/>
              <w:jc w:val="left"/>
              <w:rPr>
                <w:rFonts w:hint="eastAsia"/>
                <w:sz w:val="18"/>
                <w:szCs w:val="18"/>
                <w:highlight w:val="none"/>
              </w:rPr>
            </w:pPr>
            <w:r>
              <w:rPr>
                <w:rFonts w:hint="eastAsia" w:ascii="宋体" w:hAnsi="宋体" w:cs="宋体"/>
                <w:kern w:val="0"/>
                <w:sz w:val="18"/>
                <w:szCs w:val="18"/>
                <w:highlight w:val="none"/>
              </w:rPr>
              <w:t xml:space="preserve">2、项目负责人造价咨询工作年限 </w:t>
            </w:r>
            <w:r>
              <w:rPr>
                <w:rFonts w:hint="eastAsia" w:ascii="宋体" w:hAnsi="宋体" w:cs="宋体"/>
                <w:kern w:val="0"/>
                <w:sz w:val="18"/>
                <w:szCs w:val="18"/>
                <w:highlight w:val="none"/>
                <w:lang w:val="en-US" w:eastAsia="zh-CN"/>
              </w:rPr>
              <w:t>10-15</w:t>
            </w:r>
            <w:r>
              <w:rPr>
                <w:rFonts w:hint="eastAsia" w:ascii="宋体" w:hAnsi="宋体" w:cs="宋体"/>
                <w:kern w:val="0"/>
                <w:sz w:val="18"/>
                <w:szCs w:val="18"/>
                <w:highlight w:val="none"/>
              </w:rPr>
              <w:t>年（不含10年）得 1分，</w:t>
            </w:r>
            <w:r>
              <w:rPr>
                <w:rFonts w:hint="eastAsia" w:ascii="宋体" w:hAnsi="宋体" w:cs="宋体"/>
                <w:kern w:val="0"/>
                <w:sz w:val="18"/>
                <w:szCs w:val="18"/>
                <w:highlight w:val="none"/>
                <w:lang w:val="en-US" w:eastAsia="zh-CN"/>
              </w:rPr>
              <w:t>15</w:t>
            </w:r>
            <w:r>
              <w:rPr>
                <w:rFonts w:hint="eastAsia" w:ascii="宋体" w:hAnsi="宋体" w:cs="宋体"/>
                <w:kern w:val="0"/>
                <w:sz w:val="18"/>
                <w:szCs w:val="18"/>
                <w:highlight w:val="none"/>
              </w:rPr>
              <w:t xml:space="preserve"> 年以上（含）得 2 分（以一级注册造价师注册时间为准）。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vMerge w:val="continue"/>
            <w:noWrap w:val="0"/>
            <w:vAlign w:val="center"/>
          </w:tcPr>
          <w:p>
            <w:pPr>
              <w:widowControl/>
              <w:spacing w:line="276" w:lineRule="auto"/>
              <w:jc w:val="left"/>
              <w:rPr>
                <w:rFonts w:hint="eastAsia" w:ascii="宋体" w:hAnsi="宋体" w:cs="宋体"/>
                <w:color w:val="000000"/>
                <w:kern w:val="0"/>
                <w:sz w:val="18"/>
                <w:szCs w:val="18"/>
                <w:highlight w:val="none"/>
              </w:rPr>
            </w:pPr>
          </w:p>
        </w:tc>
        <w:tc>
          <w:tcPr>
            <w:tcW w:w="842" w:type="dxa"/>
            <w:noWrap w:val="0"/>
            <w:vAlign w:val="center"/>
          </w:tcPr>
          <w:p>
            <w:pPr>
              <w:widowControl/>
              <w:spacing w:line="276" w:lineRule="auto"/>
              <w:ind w:right="-205" w:rightChars="-64"/>
              <w:jc w:val="left"/>
              <w:rPr>
                <w:rFonts w:hint="eastAsia" w:ascii="宋体" w:hAnsi="宋体" w:eastAsia="宋体" w:cs="宋体"/>
                <w:bCs/>
                <w:sz w:val="18"/>
                <w:szCs w:val="18"/>
                <w:highlight w:val="none"/>
                <w:lang w:eastAsia="zh-CN"/>
              </w:rPr>
            </w:pPr>
            <w:r>
              <w:rPr>
                <w:rFonts w:hint="eastAsia" w:ascii="宋体" w:hAnsi="宋体" w:cs="宋体"/>
                <w:kern w:val="0"/>
                <w:sz w:val="18"/>
                <w:szCs w:val="18"/>
                <w:highlight w:val="none"/>
              </w:rPr>
              <w:t>主要</w:t>
            </w:r>
            <w:r>
              <w:rPr>
                <w:rFonts w:hint="eastAsia" w:ascii="宋体" w:hAnsi="宋体" w:cs="宋体"/>
                <w:kern w:val="0"/>
                <w:sz w:val="18"/>
                <w:szCs w:val="18"/>
                <w:highlight w:val="none"/>
                <w:lang w:eastAsia="zh-CN"/>
              </w:rPr>
              <w:t>人员</w:t>
            </w:r>
          </w:p>
        </w:tc>
        <w:tc>
          <w:tcPr>
            <w:tcW w:w="656" w:type="dxa"/>
            <w:noWrap w:val="0"/>
            <w:vAlign w:val="center"/>
          </w:tcPr>
          <w:p>
            <w:pPr>
              <w:spacing w:line="276" w:lineRule="auto"/>
              <w:ind w:right="-205" w:rightChars="-64" w:firstLine="90" w:firstLineChars="50"/>
              <w:jc w:val="left"/>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10</w:t>
            </w:r>
          </w:p>
        </w:tc>
        <w:tc>
          <w:tcPr>
            <w:tcW w:w="6865" w:type="dxa"/>
            <w:noWrap w:val="0"/>
            <w:vAlign w:val="center"/>
          </w:tcPr>
          <w:p>
            <w:pPr>
              <w:spacing w:line="276" w:lineRule="auto"/>
              <w:ind w:right="-205" w:rightChars="-64"/>
              <w:jc w:val="left"/>
              <w:rPr>
                <w:rFonts w:ascii="宋体" w:hAnsi="宋体" w:cs="宋体"/>
                <w:kern w:val="0"/>
                <w:sz w:val="18"/>
                <w:szCs w:val="18"/>
                <w:highlight w:val="none"/>
              </w:rPr>
            </w:pPr>
            <w:r>
              <w:rPr>
                <w:rFonts w:hint="eastAsia" w:ascii="宋体" w:hAnsi="宋体" w:cs="宋体"/>
                <w:kern w:val="0"/>
                <w:sz w:val="18"/>
                <w:szCs w:val="18"/>
                <w:highlight w:val="none"/>
              </w:rPr>
              <w:t>拟投入本项目的主要人员（除</w:t>
            </w:r>
            <w:r>
              <w:rPr>
                <w:rFonts w:ascii="宋体" w:hAnsi="宋体" w:cs="宋体"/>
                <w:kern w:val="0"/>
                <w:sz w:val="18"/>
                <w:szCs w:val="18"/>
                <w:highlight w:val="none"/>
              </w:rPr>
              <w:t>项目负责人）</w:t>
            </w:r>
            <w:r>
              <w:rPr>
                <w:rFonts w:hint="eastAsia" w:ascii="宋体" w:hAnsi="宋体" w:cs="宋体"/>
                <w:kern w:val="0"/>
                <w:sz w:val="18"/>
                <w:szCs w:val="18"/>
                <w:highlight w:val="none"/>
              </w:rPr>
              <w:t>：</w:t>
            </w:r>
          </w:p>
          <w:p>
            <w:pPr>
              <w:spacing w:line="276" w:lineRule="auto"/>
              <w:ind w:right="-205" w:rightChars="-64"/>
              <w:jc w:val="left"/>
              <w:rPr>
                <w:rFonts w:hint="eastAsia" w:eastAsia="宋体"/>
                <w:sz w:val="18"/>
                <w:szCs w:val="18"/>
                <w:highlight w:val="none"/>
                <w:lang w:eastAsia="zh-CN"/>
              </w:rPr>
            </w:pPr>
            <w:r>
              <w:rPr>
                <w:rFonts w:hint="eastAsia" w:ascii="宋体" w:hAnsi="宋体" w:cs="宋体"/>
                <w:kern w:val="0"/>
                <w:sz w:val="18"/>
                <w:szCs w:val="18"/>
                <w:highlight w:val="none"/>
              </w:rPr>
              <w:t xml:space="preserve">公司拥有注册造价工程师人数 </w:t>
            </w:r>
            <w:r>
              <w:rPr>
                <w:rFonts w:hint="eastAsia" w:ascii="宋体" w:hAnsi="宋体" w:cs="宋体"/>
                <w:kern w:val="0"/>
                <w:sz w:val="18"/>
                <w:szCs w:val="18"/>
                <w:highlight w:val="none"/>
                <w:lang w:val="en-US" w:eastAsia="zh-CN"/>
              </w:rPr>
              <w:t>15</w:t>
            </w:r>
            <w:r>
              <w:rPr>
                <w:rFonts w:hint="eastAsia" w:ascii="宋体" w:hAnsi="宋体" w:cs="宋体"/>
                <w:kern w:val="0"/>
                <w:sz w:val="18"/>
                <w:szCs w:val="18"/>
                <w:highlight w:val="none"/>
              </w:rPr>
              <w:t>人及以上，得</w:t>
            </w:r>
            <w:r>
              <w:rPr>
                <w:rFonts w:hint="eastAsia" w:ascii="宋体" w:hAnsi="宋体" w:cs="宋体"/>
                <w:kern w:val="0"/>
                <w:sz w:val="18"/>
                <w:szCs w:val="18"/>
                <w:highlight w:val="none"/>
                <w:lang w:val="en-US" w:eastAsia="zh-CN"/>
              </w:rPr>
              <w:t>10</w:t>
            </w:r>
            <w:r>
              <w:rPr>
                <w:rFonts w:hint="eastAsia" w:ascii="宋体" w:hAnsi="宋体" w:cs="宋体"/>
                <w:kern w:val="0"/>
                <w:sz w:val="18"/>
                <w:szCs w:val="18"/>
                <w:highlight w:val="none"/>
              </w:rPr>
              <w:t>分；</w:t>
            </w:r>
            <w:r>
              <w:rPr>
                <w:rFonts w:hint="eastAsia" w:ascii="宋体" w:hAnsi="宋体" w:cs="宋体"/>
                <w:kern w:val="0"/>
                <w:sz w:val="18"/>
                <w:szCs w:val="18"/>
                <w:highlight w:val="none"/>
                <w:lang w:val="en-US" w:eastAsia="zh-CN"/>
              </w:rPr>
              <w:t>10-15人</w:t>
            </w:r>
            <w:r>
              <w:rPr>
                <w:rFonts w:hint="eastAsia" w:ascii="宋体" w:hAnsi="宋体" w:cs="宋体"/>
                <w:kern w:val="0"/>
                <w:sz w:val="18"/>
                <w:szCs w:val="18"/>
                <w:highlight w:val="none"/>
              </w:rPr>
              <w:t>得</w:t>
            </w:r>
            <w:r>
              <w:rPr>
                <w:rFonts w:hint="eastAsia" w:ascii="宋体" w:hAnsi="宋体" w:cs="宋体"/>
                <w:kern w:val="0"/>
                <w:sz w:val="18"/>
                <w:szCs w:val="18"/>
                <w:highlight w:val="none"/>
                <w:lang w:val="en-US" w:eastAsia="zh-CN"/>
              </w:rPr>
              <w:t>5</w:t>
            </w:r>
            <w:r>
              <w:rPr>
                <w:rFonts w:hint="eastAsia" w:ascii="宋体" w:hAnsi="宋体" w:cs="宋体"/>
                <w:kern w:val="0"/>
                <w:sz w:val="18"/>
                <w:szCs w:val="18"/>
                <w:highlight w:val="none"/>
              </w:rPr>
              <w:t>分；</w:t>
            </w:r>
            <w:r>
              <w:rPr>
                <w:rFonts w:hint="eastAsia" w:ascii="宋体" w:hAnsi="宋体" w:cs="宋体"/>
                <w:kern w:val="0"/>
                <w:sz w:val="18"/>
                <w:szCs w:val="18"/>
                <w:highlight w:val="none"/>
                <w:lang w:val="en-US" w:eastAsia="zh-CN"/>
              </w:rPr>
              <w:t>1-10人</w:t>
            </w:r>
            <w:r>
              <w:rPr>
                <w:rFonts w:hint="eastAsia" w:ascii="宋体" w:hAnsi="宋体" w:cs="宋体"/>
                <w:kern w:val="0"/>
                <w:sz w:val="18"/>
                <w:szCs w:val="18"/>
                <w:highlight w:val="none"/>
              </w:rPr>
              <w:t>得</w:t>
            </w:r>
            <w:r>
              <w:rPr>
                <w:rFonts w:hint="eastAsia" w:ascii="宋体" w:hAnsi="宋体" w:cs="宋体"/>
                <w:kern w:val="0"/>
                <w:sz w:val="18"/>
                <w:szCs w:val="18"/>
                <w:highlight w:val="none"/>
                <w:lang w:val="en-US" w:eastAsia="zh-CN"/>
              </w:rPr>
              <w:t>3</w:t>
            </w:r>
            <w:r>
              <w:rPr>
                <w:rFonts w:hint="eastAsia" w:ascii="宋体" w:hAnsi="宋体" w:cs="宋体"/>
                <w:kern w:val="0"/>
                <w:sz w:val="18"/>
                <w:szCs w:val="18"/>
                <w:highlight w:val="none"/>
              </w:rPr>
              <w:t>分</w:t>
            </w:r>
            <w:r>
              <w:rPr>
                <w:rFonts w:hint="eastAsia" w:ascii="宋体" w:hAnsi="宋体" w:cs="宋体"/>
                <w:kern w:val="0"/>
                <w:sz w:val="18"/>
                <w:szCs w:val="18"/>
                <w:highlight w:val="none"/>
                <w:lang w:eastAsia="zh-CN"/>
              </w:rPr>
              <w:t>，没有或不提供不得分</w:t>
            </w:r>
            <w:r>
              <w:rPr>
                <w:rFonts w:hint="eastAsia" w:ascii="宋体" w:hAnsi="宋体" w:cs="宋体"/>
                <w:kern w:val="0"/>
                <w:sz w:val="18"/>
                <w:szCs w:val="18"/>
                <w:highlight w:val="none"/>
              </w:rPr>
              <w:t>。（须提供造价执业资格注册证及</w:t>
            </w:r>
            <w:r>
              <w:rPr>
                <w:rFonts w:ascii="宋体" w:hAnsi="宋体" w:cs="宋体"/>
                <w:kern w:val="0"/>
                <w:sz w:val="18"/>
                <w:szCs w:val="18"/>
                <w:highlight w:val="none"/>
              </w:rPr>
              <w:t>近</w:t>
            </w:r>
            <w:r>
              <w:rPr>
                <w:rFonts w:hint="eastAsia" w:ascii="宋体" w:hAnsi="宋体" w:cs="宋体"/>
                <w:kern w:val="0"/>
                <w:sz w:val="18"/>
                <w:szCs w:val="18"/>
                <w:highlight w:val="none"/>
                <w:lang w:val="en-US" w:eastAsia="zh-CN"/>
              </w:rPr>
              <w:t>6个</w:t>
            </w:r>
            <w:r>
              <w:rPr>
                <w:rFonts w:ascii="宋体" w:hAnsi="宋体" w:cs="宋体"/>
                <w:kern w:val="0"/>
                <w:sz w:val="18"/>
                <w:szCs w:val="18"/>
                <w:highlight w:val="none"/>
              </w:rPr>
              <w:t>月</w:t>
            </w:r>
            <w:r>
              <w:rPr>
                <w:rFonts w:hint="eastAsia" w:ascii="宋体" w:hAnsi="宋体" w:cs="宋体"/>
                <w:kern w:val="0"/>
                <w:sz w:val="18"/>
                <w:szCs w:val="18"/>
                <w:highlight w:val="none"/>
              </w:rPr>
              <w:t>在本企业缴纳</w:t>
            </w:r>
            <w:r>
              <w:rPr>
                <w:rFonts w:ascii="宋体" w:hAnsi="宋体" w:cs="宋体"/>
                <w:kern w:val="0"/>
                <w:sz w:val="18"/>
                <w:szCs w:val="18"/>
                <w:highlight w:val="none"/>
              </w:rPr>
              <w:t>社保</w:t>
            </w:r>
            <w:r>
              <w:rPr>
                <w:rFonts w:hint="eastAsia" w:ascii="宋体" w:hAnsi="宋体" w:cs="宋体"/>
                <w:kern w:val="0"/>
                <w:sz w:val="18"/>
                <w:szCs w:val="18"/>
                <w:highlight w:val="none"/>
              </w:rPr>
              <w:t>证明</w:t>
            </w:r>
            <w:r>
              <w:rPr>
                <w:rFonts w:ascii="宋体" w:hAnsi="宋体" w:cs="宋体"/>
                <w:kern w:val="0"/>
                <w:sz w:val="18"/>
                <w:szCs w:val="18"/>
                <w:highlight w:val="none"/>
              </w:rPr>
              <w:t>材料）</w:t>
            </w:r>
            <w:r>
              <w:rPr>
                <w:rFonts w:hint="eastAsia" w:ascii="宋体" w:hAnsi="宋体" w:cs="宋体"/>
                <w:kern w:val="0"/>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101" w:type="dxa"/>
            <w:vMerge w:val="restart"/>
            <w:noWrap w:val="0"/>
            <w:vAlign w:val="center"/>
          </w:tcPr>
          <w:p>
            <w:pPr>
              <w:widowControl/>
              <w:spacing w:line="276" w:lineRule="auto"/>
              <w:jc w:val="left"/>
              <w:rPr>
                <w:rFonts w:hint="eastAsia" w:ascii="宋体" w:hAnsi="宋体" w:cs="宋体"/>
                <w:color w:val="000000"/>
                <w:kern w:val="0"/>
                <w:sz w:val="18"/>
                <w:szCs w:val="18"/>
                <w:highlight w:val="none"/>
                <w:lang w:eastAsia="zh-CN"/>
              </w:rPr>
            </w:pPr>
            <w:r>
              <w:rPr>
                <w:rFonts w:hint="eastAsia" w:ascii="宋体" w:hAnsi="宋体" w:cs="宋体"/>
                <w:color w:val="000000"/>
                <w:kern w:val="0"/>
                <w:sz w:val="18"/>
                <w:szCs w:val="18"/>
                <w:highlight w:val="none"/>
                <w:lang w:eastAsia="zh-CN"/>
              </w:rPr>
              <w:t>技术部分</w:t>
            </w:r>
          </w:p>
          <w:p>
            <w:pPr>
              <w:widowControl/>
              <w:spacing w:line="276" w:lineRule="auto"/>
              <w:jc w:val="left"/>
              <w:rPr>
                <w:rFonts w:hint="eastAsia" w:ascii="宋体" w:hAnsi="宋体" w:cs="宋体"/>
                <w:color w:val="000000"/>
                <w:kern w:val="0"/>
                <w:sz w:val="18"/>
                <w:szCs w:val="18"/>
                <w:highlight w:val="none"/>
                <w:lang w:eastAsia="zh-CN"/>
              </w:rPr>
            </w:pPr>
            <w:r>
              <w:rPr>
                <w:rFonts w:hint="eastAsia" w:ascii="宋体" w:hAnsi="宋体" w:cs="宋体"/>
                <w:color w:val="000000"/>
                <w:kern w:val="0"/>
                <w:sz w:val="18"/>
                <w:szCs w:val="18"/>
                <w:highlight w:val="none"/>
                <w:lang w:eastAsia="zh-CN"/>
              </w:rPr>
              <w:t>（</w:t>
            </w:r>
            <w:r>
              <w:rPr>
                <w:rFonts w:hint="eastAsia" w:ascii="宋体" w:hAnsi="宋体" w:cs="宋体"/>
                <w:color w:val="000000"/>
                <w:kern w:val="0"/>
                <w:sz w:val="18"/>
                <w:szCs w:val="18"/>
                <w:highlight w:val="none"/>
                <w:lang w:val="en-US" w:eastAsia="zh-CN"/>
              </w:rPr>
              <w:t>40分</w:t>
            </w:r>
            <w:r>
              <w:rPr>
                <w:rFonts w:hint="eastAsia" w:ascii="宋体" w:hAnsi="宋体" w:cs="宋体"/>
                <w:color w:val="000000"/>
                <w:kern w:val="0"/>
                <w:sz w:val="18"/>
                <w:szCs w:val="18"/>
                <w:highlight w:val="none"/>
                <w:lang w:eastAsia="zh-CN"/>
              </w:rPr>
              <w:t>）</w:t>
            </w:r>
          </w:p>
        </w:tc>
        <w:tc>
          <w:tcPr>
            <w:tcW w:w="842" w:type="dxa"/>
            <w:noWrap w:val="0"/>
            <w:vAlign w:val="center"/>
          </w:tcPr>
          <w:p>
            <w:pPr>
              <w:widowControl/>
              <w:spacing w:line="276" w:lineRule="auto"/>
              <w:ind w:right="-205" w:rightChars="-64" w:firstLine="0" w:firstLineChars="0"/>
              <w:jc w:val="left"/>
              <w:rPr>
                <w:rFonts w:hint="eastAsia" w:ascii="宋体" w:hAnsi="宋体" w:cs="宋体"/>
                <w:kern w:val="0"/>
                <w:sz w:val="18"/>
                <w:szCs w:val="18"/>
                <w:highlight w:val="none"/>
              </w:rPr>
            </w:pPr>
            <w:r>
              <w:rPr>
                <w:rFonts w:hint="eastAsia" w:ascii="宋体" w:hAnsi="宋体" w:cs="宋体"/>
                <w:kern w:val="0"/>
                <w:sz w:val="18"/>
                <w:szCs w:val="18"/>
                <w:highlight w:val="none"/>
                <w:lang w:eastAsia="zh-CN"/>
              </w:rPr>
              <w:t>造价</w:t>
            </w:r>
            <w:r>
              <w:rPr>
                <w:rFonts w:hint="eastAsia" w:ascii="宋体" w:hAnsi="宋体" w:cs="宋体"/>
                <w:kern w:val="0"/>
                <w:sz w:val="18"/>
                <w:szCs w:val="18"/>
                <w:highlight w:val="none"/>
              </w:rPr>
              <w:t>咨询服务方案</w:t>
            </w:r>
          </w:p>
        </w:tc>
        <w:tc>
          <w:tcPr>
            <w:tcW w:w="656" w:type="dxa"/>
            <w:noWrap w:val="0"/>
            <w:vAlign w:val="center"/>
          </w:tcPr>
          <w:p>
            <w:pPr>
              <w:widowControl/>
              <w:spacing w:line="276" w:lineRule="auto"/>
              <w:ind w:right="-205" w:rightChars="-64"/>
              <w:jc w:val="left"/>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10</w:t>
            </w:r>
          </w:p>
        </w:tc>
        <w:tc>
          <w:tcPr>
            <w:tcW w:w="6865" w:type="dxa"/>
            <w:noWrap w:val="0"/>
            <w:vAlign w:val="center"/>
          </w:tcPr>
          <w:p>
            <w:pPr>
              <w:spacing w:before="150" w:line="224" w:lineRule="auto"/>
              <w:ind w:left="20"/>
              <w:jc w:val="left"/>
              <w:rPr>
                <w:rFonts w:hint="eastAsia" w:ascii="宋体" w:hAnsi="宋体" w:eastAsia="宋体" w:cs="宋体"/>
                <w:sz w:val="18"/>
                <w:szCs w:val="18"/>
                <w:highlight w:val="none"/>
                <w:lang w:eastAsia="zh-CN"/>
              </w:rPr>
            </w:pPr>
            <w:r>
              <w:rPr>
                <w:rFonts w:ascii="宋体" w:hAnsi="宋体" w:eastAsia="宋体" w:cs="宋体"/>
                <w:spacing w:val="6"/>
                <w:sz w:val="18"/>
                <w:szCs w:val="18"/>
                <w:highlight w:val="none"/>
              </w:rPr>
              <w:t>咨询服务方案的指导思想和目标与工程实际相符合，符</w:t>
            </w:r>
            <w:r>
              <w:rPr>
                <w:rFonts w:ascii="宋体" w:hAnsi="宋体" w:eastAsia="宋体" w:cs="宋体"/>
                <w:spacing w:val="12"/>
                <w:sz w:val="18"/>
                <w:szCs w:val="18"/>
                <w:highlight w:val="none"/>
              </w:rPr>
              <w:t>合</w:t>
            </w:r>
            <w:r>
              <w:rPr>
                <w:rFonts w:ascii="宋体" w:hAnsi="宋体" w:eastAsia="宋体" w:cs="宋体"/>
                <w:spacing w:val="9"/>
                <w:sz w:val="18"/>
                <w:szCs w:val="18"/>
                <w:highlight w:val="none"/>
              </w:rPr>
              <w:t>国</w:t>
            </w:r>
            <w:r>
              <w:rPr>
                <w:rFonts w:ascii="宋体" w:hAnsi="宋体" w:eastAsia="宋体" w:cs="宋体"/>
                <w:spacing w:val="6"/>
                <w:sz w:val="18"/>
                <w:szCs w:val="18"/>
                <w:highlight w:val="none"/>
              </w:rPr>
              <w:t>家现行审核、工程造价政策、方针，审核目标严格、起点</w:t>
            </w:r>
            <w:r>
              <w:rPr>
                <w:rFonts w:ascii="宋体" w:hAnsi="宋体" w:eastAsia="宋体" w:cs="宋体"/>
                <w:spacing w:val="10"/>
                <w:sz w:val="18"/>
                <w:szCs w:val="18"/>
                <w:highlight w:val="none"/>
              </w:rPr>
              <w:t>高，评</w:t>
            </w:r>
            <w:r>
              <w:rPr>
                <w:rFonts w:ascii="宋体" w:hAnsi="宋体" w:eastAsia="宋体" w:cs="宋体"/>
                <w:spacing w:val="6"/>
                <w:sz w:val="18"/>
                <w:szCs w:val="18"/>
                <w:highlight w:val="none"/>
              </w:rPr>
              <w:t>委</w:t>
            </w:r>
            <w:r>
              <w:rPr>
                <w:rFonts w:ascii="宋体" w:hAnsi="宋体" w:eastAsia="宋体" w:cs="宋体"/>
                <w:spacing w:val="5"/>
                <w:sz w:val="18"/>
                <w:szCs w:val="18"/>
                <w:highlight w:val="none"/>
              </w:rPr>
              <w:t>根据投标文件情况分为一般、 良、优，分别酌情得</w:t>
            </w:r>
            <w:r>
              <w:rPr>
                <w:rFonts w:ascii="宋体" w:hAnsi="宋体" w:eastAsia="宋体" w:cs="宋体"/>
                <w:sz w:val="18"/>
                <w:szCs w:val="18"/>
                <w:highlight w:val="none"/>
              </w:rPr>
              <w:t xml:space="preserve"> </w:t>
            </w:r>
            <w:r>
              <w:rPr>
                <w:rFonts w:ascii="宋体" w:hAnsi="宋体" w:eastAsia="宋体" w:cs="宋体"/>
                <w:spacing w:val="1"/>
                <w:sz w:val="18"/>
                <w:szCs w:val="18"/>
                <w:highlight w:val="none"/>
              </w:rPr>
              <w:t>0</w:t>
            </w:r>
            <w:r>
              <w:rPr>
                <w:rFonts w:ascii="宋体" w:hAnsi="宋体" w:eastAsia="宋体" w:cs="宋体"/>
                <w:sz w:val="18"/>
                <w:szCs w:val="18"/>
                <w:highlight w:val="none"/>
              </w:rPr>
              <w:t>-</w:t>
            </w:r>
            <w:r>
              <w:rPr>
                <w:rFonts w:hint="eastAsia" w:ascii="宋体" w:hAnsi="宋体" w:eastAsia="宋体" w:cs="宋体"/>
                <w:sz w:val="18"/>
                <w:szCs w:val="18"/>
                <w:highlight w:val="none"/>
                <w:lang w:eastAsia="zh-CN"/>
              </w:rPr>
              <w:t>3</w:t>
            </w:r>
            <w:r>
              <w:rPr>
                <w:rFonts w:ascii="宋体" w:hAnsi="宋体" w:eastAsia="宋体" w:cs="宋体"/>
                <w:sz w:val="18"/>
                <w:szCs w:val="18"/>
                <w:highlight w:val="none"/>
              </w:rPr>
              <w:t>分、</w:t>
            </w:r>
            <w:r>
              <w:rPr>
                <w:rFonts w:hint="eastAsia" w:ascii="宋体" w:hAnsi="宋体" w:eastAsia="宋体" w:cs="宋体"/>
                <w:sz w:val="18"/>
                <w:szCs w:val="18"/>
                <w:highlight w:val="none"/>
                <w:lang w:eastAsia="zh-CN"/>
              </w:rPr>
              <w:t>4</w:t>
            </w:r>
            <w:r>
              <w:rPr>
                <w:rFonts w:ascii="宋体" w:hAnsi="宋体" w:eastAsia="宋体" w:cs="宋体"/>
                <w:sz w:val="18"/>
                <w:szCs w:val="18"/>
                <w:highlight w:val="none"/>
              </w:rPr>
              <w:t>-</w:t>
            </w:r>
            <w:r>
              <w:rPr>
                <w:rFonts w:hint="eastAsia" w:ascii="宋体" w:hAnsi="宋体" w:eastAsia="宋体" w:cs="宋体"/>
                <w:sz w:val="18"/>
                <w:szCs w:val="18"/>
                <w:highlight w:val="none"/>
                <w:lang w:eastAsia="zh-CN"/>
              </w:rPr>
              <w:t>7</w:t>
            </w:r>
            <w:r>
              <w:rPr>
                <w:rFonts w:ascii="宋体" w:hAnsi="宋体" w:eastAsia="宋体" w:cs="宋体"/>
                <w:sz w:val="18"/>
                <w:szCs w:val="18"/>
                <w:highlight w:val="none"/>
              </w:rPr>
              <w:t>分，</w:t>
            </w:r>
            <w:r>
              <w:rPr>
                <w:rFonts w:hint="eastAsia" w:ascii="宋体" w:hAnsi="宋体" w:eastAsia="宋体" w:cs="宋体"/>
                <w:sz w:val="18"/>
                <w:szCs w:val="18"/>
                <w:highlight w:val="none"/>
                <w:lang w:eastAsia="zh-CN"/>
              </w:rPr>
              <w:t>8</w:t>
            </w:r>
            <w:r>
              <w:rPr>
                <w:rFonts w:ascii="宋体" w:hAnsi="宋体" w:eastAsia="宋体" w:cs="宋体"/>
                <w:sz w:val="18"/>
                <w:szCs w:val="18"/>
                <w:highlight w:val="none"/>
              </w:rPr>
              <w:t>-</w:t>
            </w:r>
            <w:r>
              <w:rPr>
                <w:rFonts w:hint="eastAsia" w:ascii="宋体" w:hAnsi="宋体" w:eastAsia="宋体" w:cs="宋体"/>
                <w:sz w:val="18"/>
                <w:szCs w:val="18"/>
                <w:highlight w:val="none"/>
                <w:lang w:eastAsia="zh-CN"/>
              </w:rPr>
              <w:t>1</w:t>
            </w:r>
            <w:r>
              <w:rPr>
                <w:rFonts w:hint="eastAsia" w:ascii="宋体" w:hAnsi="宋体" w:eastAsia="宋体" w:cs="宋体"/>
                <w:sz w:val="18"/>
                <w:szCs w:val="18"/>
                <w:highlight w:val="none"/>
                <w:lang w:val="en-US" w:eastAsia="zh-CN"/>
              </w:rPr>
              <w:t>0</w:t>
            </w:r>
            <w:r>
              <w:rPr>
                <w:rFonts w:ascii="宋体" w:hAnsi="宋体" w:eastAsia="宋体" w:cs="宋体"/>
                <w:sz w:val="18"/>
                <w:szCs w:val="18"/>
                <w:highlight w:val="none"/>
              </w:rPr>
              <w:t>分，若此条缺项不</w:t>
            </w:r>
            <w:r>
              <w:rPr>
                <w:rFonts w:ascii="宋体" w:hAnsi="宋体" w:eastAsia="宋体" w:cs="宋体"/>
                <w:spacing w:val="3"/>
                <w:sz w:val="18"/>
                <w:szCs w:val="18"/>
                <w:highlight w:val="none"/>
              </w:rPr>
              <w:t>得分</w:t>
            </w:r>
            <w:r>
              <w:rPr>
                <w:rFonts w:hint="eastAsia" w:ascii="宋体" w:hAnsi="宋体" w:eastAsia="宋体" w:cs="宋体"/>
                <w:spacing w:val="2"/>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101" w:type="dxa"/>
            <w:vMerge w:val="continue"/>
            <w:noWrap w:val="0"/>
            <w:vAlign w:val="center"/>
          </w:tcPr>
          <w:p>
            <w:pPr>
              <w:widowControl/>
              <w:spacing w:line="276" w:lineRule="auto"/>
              <w:jc w:val="left"/>
              <w:rPr>
                <w:rFonts w:hint="eastAsia" w:ascii="宋体" w:hAnsi="宋体" w:cs="宋体"/>
                <w:color w:val="000000"/>
                <w:kern w:val="0"/>
                <w:sz w:val="18"/>
                <w:szCs w:val="18"/>
                <w:highlight w:val="none"/>
              </w:rPr>
            </w:pPr>
          </w:p>
        </w:tc>
        <w:tc>
          <w:tcPr>
            <w:tcW w:w="842" w:type="dxa"/>
            <w:noWrap w:val="0"/>
            <w:vAlign w:val="center"/>
          </w:tcPr>
          <w:p>
            <w:pPr>
              <w:widowControl/>
              <w:spacing w:line="276" w:lineRule="auto"/>
              <w:ind w:right="-205" w:rightChars="-64" w:firstLine="0" w:firstLineChars="0"/>
              <w:jc w:val="left"/>
              <w:rPr>
                <w:rFonts w:hint="eastAsia" w:ascii="宋体" w:hAnsi="宋体" w:cs="宋体"/>
                <w:kern w:val="0"/>
                <w:sz w:val="18"/>
                <w:szCs w:val="18"/>
                <w:highlight w:val="none"/>
              </w:rPr>
            </w:pPr>
            <w:r>
              <w:rPr>
                <w:rFonts w:hint="eastAsia" w:ascii="宋体" w:hAnsi="宋体" w:eastAsia="宋体" w:cs="宋体"/>
                <w:spacing w:val="9"/>
                <w:sz w:val="18"/>
                <w:szCs w:val="18"/>
                <w:highlight w:val="none"/>
                <w:lang w:eastAsia="zh-CN"/>
              </w:rPr>
              <w:t>造价</w:t>
            </w:r>
            <w:r>
              <w:rPr>
                <w:rFonts w:ascii="宋体" w:hAnsi="宋体" w:eastAsia="宋体" w:cs="宋体"/>
                <w:spacing w:val="8"/>
                <w:sz w:val="18"/>
                <w:szCs w:val="18"/>
                <w:highlight w:val="none"/>
              </w:rPr>
              <w:t>控制方</w:t>
            </w:r>
            <w:r>
              <w:rPr>
                <w:rFonts w:ascii="宋体" w:hAnsi="宋体" w:eastAsia="宋体" w:cs="宋体"/>
                <w:spacing w:val="-16"/>
                <w:sz w:val="18"/>
                <w:szCs w:val="18"/>
                <w:highlight w:val="none"/>
              </w:rPr>
              <w:t>案</w:t>
            </w:r>
          </w:p>
        </w:tc>
        <w:tc>
          <w:tcPr>
            <w:tcW w:w="656" w:type="dxa"/>
            <w:noWrap w:val="0"/>
            <w:vAlign w:val="center"/>
          </w:tcPr>
          <w:p>
            <w:pPr>
              <w:widowControl/>
              <w:spacing w:line="276" w:lineRule="auto"/>
              <w:ind w:right="-205" w:rightChars="-64"/>
              <w:jc w:val="left"/>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6</w:t>
            </w:r>
          </w:p>
        </w:tc>
        <w:tc>
          <w:tcPr>
            <w:tcW w:w="6865" w:type="dxa"/>
            <w:noWrap w:val="0"/>
            <w:vAlign w:val="center"/>
          </w:tcPr>
          <w:p>
            <w:pPr>
              <w:spacing w:line="226" w:lineRule="auto"/>
              <w:ind w:left="36"/>
              <w:jc w:val="left"/>
              <w:rPr>
                <w:rFonts w:ascii="宋体" w:hAnsi="宋体" w:eastAsia="宋体" w:cs="宋体"/>
                <w:sz w:val="18"/>
                <w:szCs w:val="18"/>
                <w:highlight w:val="none"/>
              </w:rPr>
            </w:pPr>
            <w:r>
              <w:rPr>
                <w:rFonts w:ascii="宋体" w:hAnsi="宋体" w:eastAsia="宋体" w:cs="宋体"/>
                <w:spacing w:val="2"/>
                <w:sz w:val="18"/>
                <w:szCs w:val="18"/>
                <w:highlight w:val="none"/>
              </w:rPr>
              <w:t>1 对材料、设备等</w:t>
            </w:r>
            <w:r>
              <w:rPr>
                <w:rFonts w:ascii="宋体" w:hAnsi="宋体" w:eastAsia="宋体" w:cs="宋体"/>
                <w:spacing w:val="1"/>
                <w:sz w:val="18"/>
                <w:szCs w:val="18"/>
                <w:highlight w:val="none"/>
              </w:rPr>
              <w:t>的价格进行控制的方案 0</w:t>
            </w:r>
            <w:r>
              <w:rPr>
                <w:rFonts w:hint="eastAsia" w:ascii="宋体" w:hAnsi="宋体" w:eastAsia="宋体" w:cs="宋体"/>
                <w:spacing w:val="1"/>
                <w:sz w:val="18"/>
                <w:szCs w:val="18"/>
                <w:highlight w:val="none"/>
                <w:lang w:val="en-US" w:eastAsia="zh-CN"/>
              </w:rPr>
              <w:t>-</w:t>
            </w:r>
            <w:r>
              <w:rPr>
                <w:rFonts w:hint="eastAsia" w:ascii="宋体" w:hAnsi="宋体" w:eastAsia="宋体" w:cs="宋体"/>
                <w:spacing w:val="1"/>
                <w:sz w:val="18"/>
                <w:szCs w:val="18"/>
                <w:highlight w:val="none"/>
                <w:lang w:eastAsia="zh-CN"/>
              </w:rPr>
              <w:t>3</w:t>
            </w:r>
            <w:r>
              <w:rPr>
                <w:rFonts w:ascii="宋体" w:hAnsi="宋体" w:eastAsia="宋体" w:cs="宋体"/>
                <w:spacing w:val="1"/>
                <w:sz w:val="18"/>
                <w:szCs w:val="18"/>
                <w:highlight w:val="none"/>
              </w:rPr>
              <w:t xml:space="preserve"> 分</w:t>
            </w:r>
          </w:p>
          <w:p>
            <w:pPr>
              <w:spacing w:before="114" w:line="227" w:lineRule="auto"/>
              <w:ind w:left="23"/>
              <w:jc w:val="left"/>
              <w:rPr>
                <w:rFonts w:ascii="宋体" w:hAnsi="宋体" w:eastAsia="宋体" w:cs="宋体"/>
                <w:sz w:val="18"/>
                <w:szCs w:val="18"/>
                <w:highlight w:val="none"/>
              </w:rPr>
            </w:pPr>
            <w:r>
              <w:rPr>
                <w:rFonts w:ascii="宋体" w:hAnsi="宋体" w:eastAsia="宋体" w:cs="宋体"/>
                <w:spacing w:val="4"/>
                <w:sz w:val="18"/>
                <w:szCs w:val="18"/>
                <w:highlight w:val="none"/>
              </w:rPr>
              <w:t>2 现</w:t>
            </w:r>
            <w:r>
              <w:rPr>
                <w:rFonts w:ascii="宋体" w:hAnsi="宋体" w:eastAsia="宋体" w:cs="宋体"/>
                <w:spacing w:val="2"/>
                <w:sz w:val="18"/>
                <w:szCs w:val="18"/>
                <w:highlight w:val="none"/>
              </w:rPr>
              <w:t>场变更签证的审核及工程变更结算方案 0</w:t>
            </w:r>
            <w:r>
              <w:rPr>
                <w:rFonts w:hint="eastAsia" w:ascii="宋体" w:hAnsi="宋体" w:eastAsia="宋体" w:cs="宋体"/>
                <w:spacing w:val="2"/>
                <w:sz w:val="18"/>
                <w:szCs w:val="18"/>
                <w:highlight w:val="none"/>
                <w:lang w:val="en-US" w:eastAsia="zh-CN"/>
              </w:rPr>
              <w:t>-</w:t>
            </w:r>
            <w:r>
              <w:rPr>
                <w:rFonts w:hint="eastAsia" w:ascii="宋体" w:hAnsi="宋体" w:eastAsia="宋体" w:cs="宋体"/>
                <w:spacing w:val="2"/>
                <w:sz w:val="18"/>
                <w:szCs w:val="18"/>
                <w:highlight w:val="none"/>
                <w:lang w:eastAsia="zh-CN"/>
              </w:rPr>
              <w:t>3</w:t>
            </w:r>
            <w:r>
              <w:rPr>
                <w:rFonts w:ascii="宋体" w:hAnsi="宋体" w:eastAsia="宋体" w:cs="宋体"/>
                <w:spacing w:val="2"/>
                <w:sz w:val="18"/>
                <w:szCs w:val="18"/>
                <w:highlight w:val="none"/>
              </w:rPr>
              <w:t xml:space="preserve"> 分</w:t>
            </w:r>
          </w:p>
          <w:p>
            <w:pPr>
              <w:spacing w:before="114" w:line="226" w:lineRule="auto"/>
              <w:ind w:left="25"/>
              <w:jc w:val="left"/>
              <w:rPr>
                <w:rFonts w:hint="eastAsia"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101" w:type="dxa"/>
            <w:vMerge w:val="continue"/>
            <w:noWrap w:val="0"/>
            <w:vAlign w:val="center"/>
          </w:tcPr>
          <w:p>
            <w:pPr>
              <w:widowControl/>
              <w:spacing w:line="276" w:lineRule="auto"/>
              <w:jc w:val="left"/>
              <w:rPr>
                <w:rFonts w:hint="eastAsia" w:ascii="宋体" w:hAnsi="宋体" w:cs="宋体"/>
                <w:color w:val="000000"/>
                <w:kern w:val="0"/>
                <w:sz w:val="18"/>
                <w:szCs w:val="18"/>
                <w:highlight w:val="none"/>
              </w:rPr>
            </w:pPr>
          </w:p>
        </w:tc>
        <w:tc>
          <w:tcPr>
            <w:tcW w:w="842" w:type="dxa"/>
            <w:noWrap w:val="0"/>
            <w:vAlign w:val="center"/>
          </w:tcPr>
          <w:p>
            <w:pPr>
              <w:widowControl/>
              <w:spacing w:line="276" w:lineRule="auto"/>
              <w:ind w:right="-205" w:rightChars="-64"/>
              <w:jc w:val="left"/>
              <w:rPr>
                <w:rFonts w:hint="eastAsia" w:ascii="宋体" w:hAnsi="宋体" w:cs="宋体"/>
                <w:kern w:val="0"/>
                <w:sz w:val="18"/>
                <w:szCs w:val="18"/>
                <w:highlight w:val="none"/>
              </w:rPr>
            </w:pPr>
            <w:r>
              <w:rPr>
                <w:rFonts w:ascii="宋体" w:hAnsi="宋体" w:eastAsia="宋体" w:cs="宋体"/>
                <w:spacing w:val="8"/>
                <w:sz w:val="18"/>
                <w:szCs w:val="18"/>
                <w:highlight w:val="none"/>
              </w:rPr>
              <w:t>重难点分</w:t>
            </w:r>
            <w:r>
              <w:rPr>
                <w:rFonts w:ascii="宋体" w:hAnsi="宋体" w:eastAsia="宋体" w:cs="宋体"/>
                <w:spacing w:val="7"/>
                <w:sz w:val="18"/>
                <w:szCs w:val="18"/>
                <w:highlight w:val="none"/>
              </w:rPr>
              <w:t>析</w:t>
            </w:r>
          </w:p>
        </w:tc>
        <w:tc>
          <w:tcPr>
            <w:tcW w:w="656" w:type="dxa"/>
            <w:noWrap w:val="0"/>
            <w:vAlign w:val="center"/>
          </w:tcPr>
          <w:p>
            <w:pPr>
              <w:widowControl/>
              <w:spacing w:line="276" w:lineRule="auto"/>
              <w:ind w:right="-205" w:rightChars="-64"/>
              <w:jc w:val="left"/>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6</w:t>
            </w:r>
          </w:p>
        </w:tc>
        <w:tc>
          <w:tcPr>
            <w:tcW w:w="6865" w:type="dxa"/>
            <w:noWrap w:val="0"/>
            <w:vAlign w:val="center"/>
          </w:tcPr>
          <w:p>
            <w:pPr>
              <w:spacing w:before="122" w:line="335" w:lineRule="auto"/>
              <w:ind w:left="21" w:right="74" w:hanging="1"/>
              <w:jc w:val="left"/>
              <w:rPr>
                <w:rFonts w:hint="eastAsia" w:ascii="宋体" w:hAnsi="宋体" w:eastAsia="宋体" w:cs="宋体"/>
                <w:spacing w:val="10"/>
                <w:sz w:val="18"/>
                <w:szCs w:val="18"/>
                <w:highlight w:val="none"/>
                <w:lang w:eastAsia="zh-CN"/>
              </w:rPr>
            </w:pPr>
            <w:r>
              <w:rPr>
                <w:rFonts w:ascii="宋体" w:hAnsi="宋体" w:eastAsia="宋体" w:cs="宋体"/>
                <w:spacing w:val="6"/>
                <w:sz w:val="18"/>
                <w:szCs w:val="18"/>
                <w:highlight w:val="none"/>
              </w:rPr>
              <w:t>咨询服务方案中对工程特点、重点、难点所制定的措施</w:t>
            </w:r>
            <w:r>
              <w:rPr>
                <w:rFonts w:ascii="宋体" w:hAnsi="宋体" w:eastAsia="宋体" w:cs="宋体"/>
                <w:sz w:val="18"/>
                <w:szCs w:val="18"/>
                <w:highlight w:val="none"/>
              </w:rPr>
              <w:t xml:space="preserve"> </w:t>
            </w:r>
            <w:r>
              <w:rPr>
                <w:rFonts w:hint="eastAsia" w:ascii="宋体" w:hAnsi="宋体" w:eastAsia="宋体" w:cs="宋体"/>
                <w:sz w:val="18"/>
                <w:szCs w:val="18"/>
                <w:highlight w:val="none"/>
                <w:lang w:val="en-US" w:eastAsia="zh-CN"/>
              </w:rPr>
              <w:t>-</w:t>
            </w:r>
            <w:r>
              <w:rPr>
                <w:rFonts w:ascii="宋体" w:hAnsi="宋体" w:eastAsia="宋体" w:cs="宋体"/>
                <w:spacing w:val="12"/>
                <w:sz w:val="18"/>
                <w:szCs w:val="18"/>
                <w:highlight w:val="none"/>
              </w:rPr>
              <w:t>可</w:t>
            </w:r>
            <w:r>
              <w:rPr>
                <w:rFonts w:ascii="宋体" w:hAnsi="宋体" w:eastAsia="宋体" w:cs="宋体"/>
                <w:spacing w:val="8"/>
                <w:sz w:val="18"/>
                <w:szCs w:val="18"/>
                <w:highlight w:val="none"/>
              </w:rPr>
              <w:t>靠</w:t>
            </w:r>
            <w:r>
              <w:rPr>
                <w:rFonts w:ascii="宋体" w:hAnsi="宋体" w:eastAsia="宋体" w:cs="宋体"/>
                <w:spacing w:val="6"/>
                <w:sz w:val="18"/>
                <w:szCs w:val="18"/>
                <w:highlight w:val="none"/>
              </w:rPr>
              <w:t>，评委根据投标文件情况分为一般、良、优，分别酌情得</w:t>
            </w:r>
            <w:r>
              <w:rPr>
                <w:rFonts w:ascii="宋体" w:hAnsi="宋体" w:eastAsia="宋体" w:cs="宋体"/>
                <w:sz w:val="18"/>
                <w:szCs w:val="18"/>
                <w:highlight w:val="none"/>
              </w:rPr>
              <w:t xml:space="preserve"> 0-1 分、2-3 分，</w:t>
            </w:r>
            <w:r>
              <w:rPr>
                <w:rFonts w:hint="eastAsia" w:ascii="宋体" w:hAnsi="宋体" w:eastAsia="宋体" w:cs="宋体"/>
                <w:sz w:val="18"/>
                <w:szCs w:val="18"/>
                <w:highlight w:val="none"/>
                <w:lang w:val="en-US" w:eastAsia="zh-CN"/>
              </w:rPr>
              <w:t>4</w:t>
            </w:r>
            <w:r>
              <w:rPr>
                <w:rFonts w:ascii="宋体" w:hAnsi="宋体" w:eastAsia="宋体" w:cs="宋体"/>
                <w:sz w:val="18"/>
                <w:szCs w:val="18"/>
                <w:highlight w:val="none"/>
              </w:rPr>
              <w:t>-6 分， 若此条缺项</w:t>
            </w:r>
            <w:r>
              <w:rPr>
                <w:rFonts w:ascii="宋体" w:hAnsi="宋体" w:eastAsia="宋体" w:cs="宋体"/>
                <w:spacing w:val="7"/>
                <w:sz w:val="18"/>
                <w:szCs w:val="18"/>
                <w:highlight w:val="none"/>
              </w:rPr>
              <w:t>不</w:t>
            </w:r>
            <w:r>
              <w:rPr>
                <w:rFonts w:ascii="宋体" w:hAnsi="宋体" w:eastAsia="宋体" w:cs="宋体"/>
                <w:spacing w:val="4"/>
                <w:sz w:val="18"/>
                <w:szCs w:val="18"/>
                <w:highlight w:val="none"/>
              </w:rPr>
              <w:t>得分</w:t>
            </w:r>
            <w:r>
              <w:rPr>
                <w:rFonts w:hint="eastAsia" w:ascii="宋体" w:hAnsi="宋体" w:eastAsia="宋体" w:cs="宋体"/>
                <w:spacing w:val="4"/>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101" w:type="dxa"/>
            <w:vMerge w:val="continue"/>
            <w:noWrap w:val="0"/>
            <w:vAlign w:val="center"/>
          </w:tcPr>
          <w:p>
            <w:pPr>
              <w:widowControl/>
              <w:spacing w:line="276" w:lineRule="auto"/>
              <w:jc w:val="left"/>
              <w:rPr>
                <w:rFonts w:hint="eastAsia" w:ascii="宋体" w:hAnsi="宋体" w:cs="宋体"/>
                <w:color w:val="000000"/>
                <w:kern w:val="0"/>
                <w:sz w:val="18"/>
                <w:szCs w:val="18"/>
                <w:highlight w:val="none"/>
              </w:rPr>
            </w:pPr>
          </w:p>
        </w:tc>
        <w:tc>
          <w:tcPr>
            <w:tcW w:w="842" w:type="dxa"/>
            <w:noWrap w:val="0"/>
            <w:vAlign w:val="center"/>
          </w:tcPr>
          <w:p>
            <w:pPr>
              <w:widowControl/>
              <w:spacing w:line="276" w:lineRule="auto"/>
              <w:ind w:right="-205" w:rightChars="-64"/>
              <w:jc w:val="left"/>
              <w:rPr>
                <w:rFonts w:hint="eastAsia" w:ascii="宋体" w:hAnsi="宋体" w:cs="宋体"/>
                <w:kern w:val="0"/>
                <w:sz w:val="18"/>
                <w:szCs w:val="18"/>
                <w:highlight w:val="none"/>
              </w:rPr>
            </w:pPr>
            <w:r>
              <w:rPr>
                <w:rFonts w:ascii="宋体" w:hAnsi="宋体" w:eastAsia="宋体" w:cs="宋体"/>
                <w:spacing w:val="-6"/>
                <w:sz w:val="18"/>
                <w:szCs w:val="18"/>
                <w:highlight w:val="none"/>
              </w:rPr>
              <w:t>进度控制</w:t>
            </w:r>
          </w:p>
        </w:tc>
        <w:tc>
          <w:tcPr>
            <w:tcW w:w="656" w:type="dxa"/>
            <w:noWrap w:val="0"/>
            <w:vAlign w:val="center"/>
          </w:tcPr>
          <w:p>
            <w:pPr>
              <w:widowControl/>
              <w:spacing w:line="276" w:lineRule="auto"/>
              <w:ind w:right="-205" w:rightChars="-64"/>
              <w:jc w:val="left"/>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6</w:t>
            </w:r>
          </w:p>
        </w:tc>
        <w:tc>
          <w:tcPr>
            <w:tcW w:w="6865" w:type="dxa"/>
            <w:noWrap w:val="0"/>
            <w:vAlign w:val="center"/>
          </w:tcPr>
          <w:p>
            <w:pPr>
              <w:spacing w:before="1" w:line="332" w:lineRule="auto"/>
              <w:ind w:left="23" w:right="74" w:hanging="3"/>
              <w:jc w:val="left"/>
              <w:rPr>
                <w:rFonts w:hint="eastAsia" w:ascii="宋体" w:hAnsi="宋体" w:eastAsia="宋体" w:cs="宋体"/>
                <w:spacing w:val="10"/>
                <w:sz w:val="18"/>
                <w:szCs w:val="18"/>
                <w:highlight w:val="none"/>
                <w:lang w:eastAsia="zh-CN"/>
              </w:rPr>
            </w:pPr>
            <w:r>
              <w:rPr>
                <w:rFonts w:ascii="宋体" w:hAnsi="宋体" w:eastAsia="宋体" w:cs="宋体"/>
                <w:spacing w:val="12"/>
                <w:sz w:val="18"/>
                <w:szCs w:val="18"/>
                <w:highlight w:val="none"/>
              </w:rPr>
              <w:t>针</w:t>
            </w:r>
            <w:r>
              <w:rPr>
                <w:rFonts w:ascii="宋体" w:hAnsi="宋体" w:eastAsia="宋体" w:cs="宋体"/>
                <w:spacing w:val="10"/>
                <w:sz w:val="18"/>
                <w:szCs w:val="18"/>
                <w:highlight w:val="none"/>
              </w:rPr>
              <w:t>对</w:t>
            </w:r>
            <w:r>
              <w:rPr>
                <w:rFonts w:ascii="宋体" w:hAnsi="宋体" w:eastAsia="宋体" w:cs="宋体"/>
                <w:spacing w:val="6"/>
                <w:sz w:val="18"/>
                <w:szCs w:val="18"/>
                <w:highlight w:val="none"/>
              </w:rPr>
              <w:t>本项目特点，制定的工作进度保证措施考虑周全、合理可</w:t>
            </w:r>
            <w:r>
              <w:rPr>
                <w:rFonts w:ascii="宋体" w:hAnsi="宋体" w:eastAsia="宋体" w:cs="宋体"/>
                <w:spacing w:val="16"/>
                <w:sz w:val="18"/>
                <w:szCs w:val="18"/>
                <w:highlight w:val="none"/>
              </w:rPr>
              <w:t>行</w:t>
            </w:r>
            <w:r>
              <w:rPr>
                <w:rFonts w:ascii="宋体" w:hAnsi="宋体" w:eastAsia="宋体" w:cs="宋体"/>
                <w:spacing w:val="14"/>
                <w:sz w:val="18"/>
                <w:szCs w:val="18"/>
                <w:highlight w:val="none"/>
              </w:rPr>
              <w:t>，</w:t>
            </w:r>
            <w:r>
              <w:rPr>
                <w:rFonts w:ascii="宋体" w:hAnsi="宋体" w:eastAsia="宋体" w:cs="宋体"/>
                <w:spacing w:val="8"/>
                <w:sz w:val="18"/>
                <w:szCs w:val="18"/>
                <w:highlight w:val="none"/>
              </w:rPr>
              <w:t>能够保证高效按期完成咨询服务工作。</w:t>
            </w:r>
            <w:r>
              <w:rPr>
                <w:rFonts w:ascii="宋体" w:hAnsi="宋体" w:eastAsia="宋体" w:cs="宋体"/>
                <w:spacing w:val="6"/>
                <w:sz w:val="18"/>
                <w:szCs w:val="18"/>
                <w:highlight w:val="none"/>
              </w:rPr>
              <w:t>评委根</w:t>
            </w:r>
            <w:r>
              <w:rPr>
                <w:rFonts w:ascii="宋体" w:hAnsi="宋体" w:eastAsia="宋体" w:cs="宋体"/>
                <w:spacing w:val="5"/>
                <w:sz w:val="18"/>
                <w:szCs w:val="18"/>
                <w:highlight w:val="none"/>
              </w:rPr>
              <w:t>据</w:t>
            </w:r>
            <w:r>
              <w:rPr>
                <w:rFonts w:ascii="宋体" w:hAnsi="宋体" w:eastAsia="宋体" w:cs="宋体"/>
                <w:spacing w:val="3"/>
                <w:sz w:val="18"/>
                <w:szCs w:val="18"/>
                <w:highlight w:val="none"/>
              </w:rPr>
              <w:t>投标文件情况分为一般、 良、优，分别酌情得 0-1</w:t>
            </w:r>
            <w:r>
              <w:rPr>
                <w:rFonts w:ascii="宋体" w:hAnsi="宋体" w:eastAsia="宋体" w:cs="宋体"/>
                <w:sz w:val="18"/>
                <w:szCs w:val="18"/>
                <w:highlight w:val="none"/>
              </w:rPr>
              <w:t xml:space="preserve">  </w:t>
            </w:r>
            <w:r>
              <w:rPr>
                <w:rFonts w:ascii="宋体" w:hAnsi="宋体" w:eastAsia="宋体" w:cs="宋体"/>
                <w:spacing w:val="1"/>
                <w:sz w:val="18"/>
                <w:szCs w:val="18"/>
                <w:highlight w:val="none"/>
              </w:rPr>
              <w:t>分、2-3 分，4-</w:t>
            </w:r>
            <w:r>
              <w:rPr>
                <w:rFonts w:hint="eastAsia" w:ascii="宋体" w:hAnsi="宋体" w:eastAsia="宋体" w:cs="宋体"/>
                <w:spacing w:val="1"/>
                <w:sz w:val="18"/>
                <w:szCs w:val="18"/>
                <w:highlight w:val="none"/>
                <w:lang w:eastAsia="zh-CN"/>
              </w:rPr>
              <w:t>6</w:t>
            </w:r>
            <w:r>
              <w:rPr>
                <w:rFonts w:ascii="宋体" w:hAnsi="宋体" w:eastAsia="宋体" w:cs="宋体"/>
                <w:spacing w:val="1"/>
                <w:sz w:val="18"/>
                <w:szCs w:val="18"/>
                <w:highlight w:val="none"/>
              </w:rPr>
              <w:t xml:space="preserve"> 分，若此</w:t>
            </w:r>
            <w:r>
              <w:rPr>
                <w:rFonts w:ascii="宋体" w:hAnsi="宋体" w:eastAsia="宋体" w:cs="宋体"/>
                <w:sz w:val="18"/>
                <w:szCs w:val="18"/>
                <w:highlight w:val="none"/>
              </w:rPr>
              <w:t>条缺项不得分</w:t>
            </w:r>
            <w:r>
              <w:rPr>
                <w:rFonts w:hint="eastAsia" w:ascii="宋体" w:hAnsi="宋体" w:eastAsia="宋体" w:cs="宋体"/>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101" w:type="dxa"/>
            <w:vMerge w:val="continue"/>
            <w:noWrap w:val="0"/>
            <w:vAlign w:val="center"/>
          </w:tcPr>
          <w:p>
            <w:pPr>
              <w:widowControl/>
              <w:spacing w:line="276" w:lineRule="auto"/>
              <w:jc w:val="left"/>
              <w:rPr>
                <w:rFonts w:hint="eastAsia" w:ascii="宋体" w:hAnsi="宋体" w:cs="宋体"/>
                <w:color w:val="000000"/>
                <w:kern w:val="0"/>
                <w:sz w:val="18"/>
                <w:szCs w:val="18"/>
                <w:highlight w:val="none"/>
              </w:rPr>
            </w:pPr>
          </w:p>
        </w:tc>
        <w:tc>
          <w:tcPr>
            <w:tcW w:w="842" w:type="dxa"/>
            <w:noWrap w:val="0"/>
            <w:vAlign w:val="center"/>
          </w:tcPr>
          <w:p>
            <w:pPr>
              <w:widowControl/>
              <w:spacing w:line="276" w:lineRule="auto"/>
              <w:ind w:right="-205" w:rightChars="-64" w:firstLine="0" w:firstLineChars="0"/>
              <w:jc w:val="left"/>
              <w:rPr>
                <w:rFonts w:hint="eastAsia" w:ascii="宋体" w:hAnsi="宋体" w:cs="宋体"/>
                <w:kern w:val="0"/>
                <w:sz w:val="18"/>
                <w:szCs w:val="18"/>
                <w:highlight w:val="none"/>
              </w:rPr>
            </w:pPr>
            <w:r>
              <w:rPr>
                <w:rFonts w:ascii="宋体" w:hAnsi="宋体" w:eastAsia="宋体" w:cs="宋体"/>
                <w:spacing w:val="-10"/>
                <w:sz w:val="18"/>
                <w:szCs w:val="18"/>
                <w:highlight w:val="none"/>
              </w:rPr>
              <w:t>组</w:t>
            </w:r>
            <w:r>
              <w:rPr>
                <w:rFonts w:ascii="宋体" w:hAnsi="宋体" w:eastAsia="宋体" w:cs="宋体"/>
                <w:spacing w:val="-6"/>
                <w:sz w:val="18"/>
                <w:szCs w:val="18"/>
                <w:highlight w:val="none"/>
              </w:rPr>
              <w:t>织协调</w:t>
            </w:r>
          </w:p>
        </w:tc>
        <w:tc>
          <w:tcPr>
            <w:tcW w:w="656" w:type="dxa"/>
            <w:noWrap w:val="0"/>
            <w:vAlign w:val="center"/>
          </w:tcPr>
          <w:p>
            <w:pPr>
              <w:widowControl/>
              <w:spacing w:line="276" w:lineRule="auto"/>
              <w:ind w:right="-205" w:rightChars="-64"/>
              <w:jc w:val="left"/>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6</w:t>
            </w:r>
          </w:p>
        </w:tc>
        <w:tc>
          <w:tcPr>
            <w:tcW w:w="6865" w:type="dxa"/>
            <w:noWrap w:val="0"/>
            <w:vAlign w:val="center"/>
          </w:tcPr>
          <w:p>
            <w:pPr>
              <w:widowControl/>
              <w:spacing w:line="276" w:lineRule="auto"/>
              <w:ind w:right="-205" w:rightChars="-64"/>
              <w:jc w:val="left"/>
              <w:rPr>
                <w:rFonts w:hint="eastAsia" w:ascii="宋体" w:hAnsi="宋体" w:eastAsia="宋体" w:cs="宋体"/>
                <w:spacing w:val="10"/>
                <w:sz w:val="18"/>
                <w:szCs w:val="18"/>
                <w:highlight w:val="none"/>
                <w:lang w:eastAsia="zh-CN"/>
              </w:rPr>
            </w:pPr>
            <w:r>
              <w:rPr>
                <w:rFonts w:ascii="宋体" w:hAnsi="宋体" w:eastAsia="宋体" w:cs="宋体"/>
                <w:spacing w:val="12"/>
                <w:sz w:val="18"/>
                <w:szCs w:val="18"/>
                <w:highlight w:val="none"/>
              </w:rPr>
              <w:t>在</w:t>
            </w:r>
            <w:r>
              <w:rPr>
                <w:rFonts w:ascii="宋体" w:hAnsi="宋体" w:eastAsia="宋体" w:cs="宋体"/>
                <w:spacing w:val="10"/>
                <w:sz w:val="18"/>
                <w:szCs w:val="18"/>
                <w:highlight w:val="none"/>
              </w:rPr>
              <w:t>项</w:t>
            </w:r>
            <w:r>
              <w:rPr>
                <w:rFonts w:ascii="宋体" w:hAnsi="宋体" w:eastAsia="宋体" w:cs="宋体"/>
                <w:spacing w:val="6"/>
                <w:sz w:val="18"/>
                <w:szCs w:val="18"/>
                <w:highlight w:val="none"/>
              </w:rPr>
              <w:t>目实施过程中，与承包人、招标人、投标人等单位之间建</w:t>
            </w:r>
            <w:r>
              <w:rPr>
                <w:rFonts w:ascii="宋体" w:hAnsi="宋体" w:eastAsia="宋体" w:cs="宋体"/>
                <w:spacing w:val="12"/>
                <w:sz w:val="18"/>
                <w:szCs w:val="18"/>
                <w:highlight w:val="none"/>
              </w:rPr>
              <w:t>立</w:t>
            </w:r>
            <w:r>
              <w:rPr>
                <w:rFonts w:ascii="宋体" w:hAnsi="宋体" w:eastAsia="宋体" w:cs="宋体"/>
                <w:spacing w:val="10"/>
                <w:sz w:val="18"/>
                <w:szCs w:val="18"/>
                <w:highlight w:val="none"/>
              </w:rPr>
              <w:t>一</w:t>
            </w:r>
            <w:r>
              <w:rPr>
                <w:rFonts w:ascii="宋体" w:hAnsi="宋体" w:eastAsia="宋体" w:cs="宋体"/>
                <w:spacing w:val="6"/>
                <w:sz w:val="18"/>
                <w:szCs w:val="18"/>
                <w:highlight w:val="none"/>
              </w:rPr>
              <w:t>定组织协调关系，确保相互间信息沟通顺畅，评委根据投</w:t>
            </w:r>
            <w:r>
              <w:rPr>
                <w:rFonts w:ascii="宋体" w:hAnsi="宋体" w:eastAsia="宋体" w:cs="宋体"/>
                <w:spacing w:val="1"/>
                <w:sz w:val="18"/>
                <w:szCs w:val="18"/>
                <w:highlight w:val="none"/>
              </w:rPr>
              <w:t xml:space="preserve">标文件情况分为一般、 良、优，分别酌情得 0-1 </w:t>
            </w:r>
            <w:r>
              <w:rPr>
                <w:rFonts w:ascii="宋体" w:hAnsi="宋体" w:eastAsia="宋体" w:cs="宋体"/>
                <w:sz w:val="18"/>
                <w:szCs w:val="18"/>
                <w:highlight w:val="none"/>
              </w:rPr>
              <w:t xml:space="preserve">分、2-3 分， </w:t>
            </w:r>
            <w:r>
              <w:rPr>
                <w:rFonts w:ascii="宋体" w:hAnsi="宋体" w:eastAsia="宋体" w:cs="宋体"/>
                <w:spacing w:val="2"/>
                <w:sz w:val="18"/>
                <w:szCs w:val="18"/>
                <w:highlight w:val="none"/>
              </w:rPr>
              <w:t>4-</w:t>
            </w:r>
            <w:r>
              <w:rPr>
                <w:rFonts w:hint="eastAsia" w:ascii="宋体" w:hAnsi="宋体" w:eastAsia="宋体" w:cs="宋体"/>
                <w:spacing w:val="2"/>
                <w:sz w:val="18"/>
                <w:szCs w:val="18"/>
                <w:highlight w:val="none"/>
                <w:lang w:eastAsia="zh-CN"/>
              </w:rPr>
              <w:t>6</w:t>
            </w:r>
            <w:r>
              <w:rPr>
                <w:rFonts w:ascii="宋体" w:hAnsi="宋体" w:eastAsia="宋体" w:cs="宋体"/>
                <w:spacing w:val="2"/>
                <w:sz w:val="18"/>
                <w:szCs w:val="18"/>
                <w:highlight w:val="none"/>
              </w:rPr>
              <w:t xml:space="preserve"> 分，若此条缺项不得分</w:t>
            </w:r>
            <w:r>
              <w:rPr>
                <w:rFonts w:hint="eastAsia" w:ascii="宋体" w:hAnsi="宋体" w:eastAsia="宋体" w:cs="宋体"/>
                <w:spacing w:val="2"/>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101" w:type="dxa"/>
            <w:vMerge w:val="continue"/>
            <w:noWrap w:val="0"/>
            <w:vAlign w:val="center"/>
          </w:tcPr>
          <w:p>
            <w:pPr>
              <w:widowControl/>
              <w:spacing w:line="276" w:lineRule="auto"/>
              <w:jc w:val="left"/>
              <w:rPr>
                <w:rFonts w:hint="eastAsia" w:ascii="宋体" w:hAnsi="宋体" w:cs="宋体"/>
                <w:color w:val="000000"/>
                <w:kern w:val="0"/>
                <w:sz w:val="18"/>
                <w:szCs w:val="18"/>
                <w:highlight w:val="none"/>
              </w:rPr>
            </w:pPr>
          </w:p>
        </w:tc>
        <w:tc>
          <w:tcPr>
            <w:tcW w:w="842" w:type="dxa"/>
            <w:noWrap w:val="0"/>
            <w:vAlign w:val="center"/>
          </w:tcPr>
          <w:p>
            <w:pPr>
              <w:widowControl/>
              <w:spacing w:line="276" w:lineRule="auto"/>
              <w:ind w:right="-205" w:rightChars="-64"/>
              <w:jc w:val="left"/>
              <w:rPr>
                <w:rFonts w:hint="eastAsia" w:ascii="宋体" w:hAnsi="宋体" w:cs="宋体"/>
                <w:kern w:val="0"/>
                <w:sz w:val="18"/>
                <w:szCs w:val="18"/>
                <w:highlight w:val="none"/>
              </w:rPr>
            </w:pPr>
            <w:r>
              <w:rPr>
                <w:rFonts w:hint="eastAsia" w:ascii="宋体" w:hAnsi="宋体" w:cs="宋体"/>
                <w:kern w:val="0"/>
                <w:sz w:val="18"/>
                <w:szCs w:val="18"/>
                <w:highlight w:val="none"/>
              </w:rPr>
              <w:t>合理化建议</w:t>
            </w:r>
          </w:p>
        </w:tc>
        <w:tc>
          <w:tcPr>
            <w:tcW w:w="656" w:type="dxa"/>
            <w:noWrap w:val="0"/>
            <w:vAlign w:val="center"/>
          </w:tcPr>
          <w:p>
            <w:pPr>
              <w:widowControl/>
              <w:spacing w:line="276" w:lineRule="auto"/>
              <w:ind w:right="-205" w:rightChars="-64"/>
              <w:jc w:val="left"/>
              <w:rPr>
                <w:rFonts w:hint="eastAsia" w:ascii="宋体" w:hAnsi="宋体" w:cs="宋体"/>
                <w:kern w:val="0"/>
                <w:sz w:val="18"/>
                <w:szCs w:val="18"/>
                <w:highlight w:val="none"/>
                <w:lang w:val="en-US" w:eastAsia="zh-CN"/>
              </w:rPr>
            </w:pPr>
            <w:r>
              <w:rPr>
                <w:rFonts w:hint="eastAsia" w:ascii="宋体" w:hAnsi="宋体" w:cs="宋体"/>
                <w:kern w:val="0"/>
                <w:sz w:val="18"/>
                <w:szCs w:val="18"/>
                <w:highlight w:val="none"/>
                <w:lang w:eastAsia="zh-CN"/>
              </w:rPr>
              <w:t>6</w:t>
            </w:r>
          </w:p>
        </w:tc>
        <w:tc>
          <w:tcPr>
            <w:tcW w:w="6865" w:type="dxa"/>
            <w:noWrap w:val="0"/>
            <w:vAlign w:val="center"/>
          </w:tcPr>
          <w:p>
            <w:pPr>
              <w:widowControl/>
              <w:spacing w:line="276" w:lineRule="auto"/>
              <w:ind w:right="-205" w:rightChars="-64"/>
              <w:jc w:val="left"/>
              <w:rPr>
                <w:rFonts w:hint="eastAsia" w:ascii="宋体" w:hAnsi="宋体" w:eastAsia="宋体" w:cs="宋体"/>
                <w:spacing w:val="10"/>
                <w:sz w:val="18"/>
                <w:szCs w:val="18"/>
                <w:highlight w:val="none"/>
                <w:lang w:eastAsia="zh-CN"/>
              </w:rPr>
            </w:pPr>
            <w:r>
              <w:rPr>
                <w:rFonts w:ascii="宋体" w:hAnsi="宋体" w:eastAsia="宋体" w:cs="宋体"/>
                <w:spacing w:val="10"/>
                <w:sz w:val="18"/>
                <w:szCs w:val="18"/>
                <w:highlight w:val="none"/>
              </w:rPr>
              <w:t>结</w:t>
            </w:r>
            <w:r>
              <w:rPr>
                <w:rFonts w:ascii="宋体" w:hAnsi="宋体" w:eastAsia="宋体" w:cs="宋体"/>
                <w:spacing w:val="6"/>
                <w:sz w:val="18"/>
                <w:szCs w:val="18"/>
                <w:highlight w:val="none"/>
              </w:rPr>
              <w:t>合项目特点，能提供合理化建议，评委根据投标文件情况分</w:t>
            </w:r>
            <w:r>
              <w:rPr>
                <w:rFonts w:ascii="宋体" w:hAnsi="宋体" w:eastAsia="宋体" w:cs="宋体"/>
                <w:spacing w:val="-8"/>
                <w:sz w:val="18"/>
                <w:szCs w:val="18"/>
                <w:highlight w:val="none"/>
              </w:rPr>
              <w:t>为</w:t>
            </w:r>
            <w:r>
              <w:rPr>
                <w:rFonts w:ascii="宋体" w:hAnsi="宋体" w:eastAsia="宋体" w:cs="宋体"/>
                <w:spacing w:val="-4"/>
                <w:sz w:val="18"/>
                <w:szCs w:val="18"/>
                <w:highlight w:val="none"/>
              </w:rPr>
              <w:t>一般、 良、优，分别酌情得 0-1 分、2-3 分，4-</w:t>
            </w:r>
            <w:r>
              <w:rPr>
                <w:rFonts w:hint="eastAsia" w:ascii="宋体" w:hAnsi="宋体" w:eastAsia="宋体" w:cs="宋体"/>
                <w:spacing w:val="-4"/>
                <w:sz w:val="18"/>
                <w:szCs w:val="18"/>
                <w:highlight w:val="none"/>
                <w:lang w:eastAsia="zh-CN"/>
              </w:rPr>
              <w:t>6</w:t>
            </w:r>
            <w:r>
              <w:rPr>
                <w:rFonts w:ascii="宋体" w:hAnsi="宋体" w:eastAsia="宋体" w:cs="宋体"/>
                <w:spacing w:val="-4"/>
                <w:sz w:val="18"/>
                <w:szCs w:val="18"/>
                <w:highlight w:val="none"/>
              </w:rPr>
              <w:t xml:space="preserve"> 分，</w:t>
            </w:r>
            <w:r>
              <w:rPr>
                <w:rFonts w:ascii="宋体" w:hAnsi="宋体" w:eastAsia="宋体" w:cs="宋体"/>
                <w:spacing w:val="8"/>
                <w:sz w:val="18"/>
                <w:szCs w:val="18"/>
                <w:highlight w:val="none"/>
              </w:rPr>
              <w:t>若此条缺项不得分</w:t>
            </w:r>
            <w:r>
              <w:rPr>
                <w:rFonts w:hint="eastAsia" w:ascii="宋体" w:hAnsi="宋体" w:eastAsia="宋体" w:cs="宋体"/>
                <w:spacing w:val="8"/>
                <w:sz w:val="18"/>
                <w:szCs w:val="18"/>
                <w:highlight w:val="none"/>
                <w:lang w:eastAsia="zh-CN"/>
              </w:rPr>
              <w:t>。</w:t>
            </w:r>
          </w:p>
        </w:tc>
      </w:tr>
    </w:tbl>
    <w:p>
      <w:pPr>
        <w:pStyle w:val="4"/>
        <w:widowControl/>
        <w:spacing w:before="0" w:beforeAutospacing="0" w:after="150" w:afterAutospacing="0"/>
        <w:ind w:firstLine="0" w:firstLineChars="0"/>
        <w:rPr>
          <w:rFonts w:hint="eastAsia" w:ascii="仿宋" w:hAnsi="仿宋" w:cs="仿宋"/>
          <w:kern w:val="2"/>
          <w:sz w:val="32"/>
          <w:szCs w:val="32"/>
        </w:rPr>
      </w:pPr>
    </w:p>
    <w:p>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hMThkOTA0NDNiOWQ0OTY2OThiMTFmZjMyNWM3YWEifQ=="/>
  </w:docVars>
  <w:rsids>
    <w:rsidRoot w:val="00000000"/>
    <w:rsid w:val="00557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Calibri" w:hAnsi="Calibri" w:eastAsia="仿宋"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szCs w:val="18"/>
    </w:rPr>
  </w:style>
  <w:style w:type="paragraph" w:styleId="3">
    <w:name w:val="header"/>
    <w:basedOn w:val="1"/>
    <w:next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2024-03-11T09:25:25Z</dcterms:created>
  <dc:creator>Administrator</dc:creator>
  <cp:lastModifiedBy>张鑫</cp:lastModifiedBy>
  <dcterms:modified xsi:type="dcterms:W3CDTF">2024-03-11T09:25:27Z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0016CFE156C744D1A6CD01A67FF82F06_12</vt:lpwstr>
  </property>
</Properties>
</file>