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3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附表1：</w:t>
      </w:r>
    </w:p>
    <w:p>
      <w:pPr>
        <w:pStyle w:val="2"/>
        <w:spacing w:line="500" w:lineRule="exact"/>
        <w:ind w:firstLine="32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评分表</w:t>
      </w:r>
    </w:p>
    <w:tbl>
      <w:tblPr>
        <w:tblStyle w:val="6"/>
        <w:tblW w:w="0" w:type="auto"/>
        <w:tblInd w:w="-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767"/>
        <w:gridCol w:w="5483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项目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分数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评审内容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价格部分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投标报价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w w:val="90"/>
                <w:sz w:val="22"/>
                <w:szCs w:val="22"/>
              </w:rPr>
              <w:t>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基准价计算：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基准价为各有效投标报价中去掉最高和最低报价后的算术平均值。若有效投标报价少于五家（不含五家）时，则以所有有效投标报价的算术平均值为基准价。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2、投标报价计算：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2.1以基准价（Pa）为基准，投标报价每高于基准价（Pa）1%扣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分，低于基准价（Pa）1%扣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分。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2.2报价得分=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0－(│Pa－q│/Pa)×100×Ka</w:t>
            </w:r>
          </w:p>
          <w:p>
            <w:pPr>
              <w:spacing w:line="340" w:lineRule="exact"/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其中：—Pa为基准价；—q为投标报价；—Ka取值为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或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计算按四舍五入方式，保留小数点后两位。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w w:val="9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ascii="Times New Roman" w:hAnsi="Times New Roman"/>
                <w:w w:val="90"/>
                <w:sz w:val="22"/>
                <w:szCs w:val="22"/>
              </w:rPr>
              <w:t>综合部分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/>
                <w:w w:val="90"/>
                <w:sz w:val="22"/>
                <w:szCs w:val="22"/>
              </w:rPr>
              <w:t>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投标人业绩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w w:val="9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4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1、投标人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近3年（20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月以后）承担过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万元及以上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市政工程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业绩，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超过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1个以上的业绩，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每一个得5分，最高得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分（提供合同或中标通知书复印件加盖公章，否则不计分）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项目负责人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业绩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1、项目负责人具备单项合同投资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万元及以上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市政工程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业绩，1个得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分，最多得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分；（需提供合同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中标通知书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等证明文件能够证明项目负责人，并加盖单位公章）。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技术部分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/>
                <w:w w:val="90"/>
                <w:sz w:val="22"/>
                <w:szCs w:val="22"/>
                <w:lang w:val="en-US" w:eastAsia="zh-CN"/>
              </w:rPr>
              <w:t>30分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施工组织设计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现场管理组织机构健全、分工明确、配置合理、劳动力组织合理，能满足施工要求。进场计划合理、保管看护措施齐全，物资供应进度计划满足招标文件要求，如施工现场的投入未能达到技术标所述标准，应有处罚、整改措施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工程质量的技术组织措施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质量保证体系完整，措施且具针对性和可行性，确保工程质量的技术组织措施，使用的新技术、新工艺的图文说明。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10-8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确保安全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文明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生产的技术组织措施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3" w:type="dxa"/>
            <w:noWrap w:val="0"/>
            <w:vAlign w:val="center"/>
          </w:tcPr>
          <w:p>
            <w:pPr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安全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文明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>生产体系完整，措施有针对性和可行性，制定切实可行的安全技术措施，并从技术上入手，针对项目实际情况，编制安全预案，以达到安全目标。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10-8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分，良得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分，一般得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-1分。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2"/>
                <w:szCs w:val="2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9BC2"/>
    <w:multiLevelType w:val="singleLevel"/>
    <w:tmpl w:val="F3CF9B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hkOTA0NDNiOWQ0OTY2OThiMTFmZjMyNWM3YWEifQ=="/>
  </w:docVars>
  <w:rsids>
    <w:rsidRoot w:val="3B176D38"/>
    <w:rsid w:val="3B1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2023-11-23T01:58:00Z</dcterms:created>
  <dc:creator>张鑫</dc:creator>
  <cp:lastModifiedBy>张鑫</cp:lastModifiedBy>
  <dcterms:modified xsi:type="dcterms:W3CDTF">2023-11-23T01:58:22Z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A9C3D23421B34878A9B3D09F8836C9AA_11</vt:lpwstr>
  </property>
</Properties>
</file>