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
        <w:ind w:right="0"/>
        <w:jc w:val="left"/>
        <w:rPr>
          <w:rFonts w:hint="default" w:eastAsia="宋体"/>
          <w:b/>
          <w:sz w:val="32"/>
          <w:szCs w:val="18"/>
          <w:lang w:val="en-US" w:eastAsia="zh-CN"/>
        </w:rPr>
      </w:pPr>
      <w:r>
        <w:rPr>
          <w:rFonts w:hint="eastAsia"/>
          <w:b/>
          <w:sz w:val="32"/>
          <w:szCs w:val="18"/>
          <w:lang w:val="en-US" w:eastAsia="zh-CN"/>
        </w:rPr>
        <w:t>附件1</w:t>
      </w:r>
      <w:bookmarkStart w:id="1" w:name="_GoBack"/>
      <w:bookmarkEnd w:id="1"/>
    </w:p>
    <w:p>
      <w:pPr>
        <w:pStyle w:val="2"/>
        <w:spacing w:before="8"/>
        <w:ind w:right="53"/>
        <w:jc w:val="center"/>
        <w:rPr>
          <w:rFonts w:hint="eastAsia"/>
          <w:sz w:val="36"/>
          <w:szCs w:val="36"/>
          <w:lang w:val="en-US" w:eastAsia="zh-CN"/>
        </w:rPr>
      </w:pPr>
      <w:bookmarkStart w:id="0" w:name="评标办法前附表"/>
      <w:bookmarkEnd w:id="0"/>
      <w:r>
        <w:rPr>
          <w:rFonts w:hint="eastAsia"/>
          <w:sz w:val="36"/>
          <w:szCs w:val="36"/>
          <w:lang w:val="en-US" w:eastAsia="zh-CN"/>
        </w:rPr>
        <w:t>评分表</w:t>
      </w:r>
    </w:p>
    <w:p/>
    <w:tbl>
      <w:tblPr>
        <w:tblStyle w:val="4"/>
        <w:tblW w:w="9252" w:type="dxa"/>
        <w:tblInd w:w="3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1983"/>
        <w:gridCol w:w="498"/>
        <w:gridCol w:w="57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992" w:type="dxa"/>
          </w:tcPr>
          <w:p>
            <w:pPr>
              <w:pStyle w:val="6"/>
              <w:spacing w:before="9"/>
              <w:rPr>
                <w:sz w:val="19"/>
              </w:rPr>
            </w:pPr>
          </w:p>
          <w:p>
            <w:pPr>
              <w:pStyle w:val="6"/>
              <w:ind w:right="78"/>
              <w:jc w:val="center"/>
              <w:rPr>
                <w:rFonts w:hint="eastAsia" w:eastAsia="宋体"/>
                <w:sz w:val="21"/>
                <w:lang w:eastAsia="zh-CN"/>
              </w:rPr>
            </w:pPr>
            <w:r>
              <w:rPr>
                <w:rFonts w:hint="eastAsia"/>
                <w:sz w:val="21"/>
                <w:lang w:val="en-US" w:eastAsia="zh-CN"/>
              </w:rPr>
              <w:t>项目</w:t>
            </w:r>
          </w:p>
        </w:tc>
        <w:tc>
          <w:tcPr>
            <w:tcW w:w="1983" w:type="dxa"/>
          </w:tcPr>
          <w:p>
            <w:pPr>
              <w:pStyle w:val="6"/>
              <w:spacing w:before="5"/>
              <w:rPr>
                <w:sz w:val="15"/>
              </w:rPr>
            </w:pPr>
          </w:p>
          <w:p>
            <w:pPr>
              <w:pStyle w:val="6"/>
              <w:ind w:left="171"/>
              <w:rPr>
                <w:sz w:val="21"/>
              </w:rPr>
            </w:pPr>
            <w:r>
              <w:rPr>
                <w:sz w:val="21"/>
              </w:rPr>
              <w:t>各评分因素细分项</w:t>
            </w:r>
          </w:p>
        </w:tc>
        <w:tc>
          <w:tcPr>
            <w:tcW w:w="498" w:type="dxa"/>
          </w:tcPr>
          <w:p>
            <w:pPr>
              <w:pStyle w:val="6"/>
              <w:spacing w:before="92" w:line="244" w:lineRule="auto"/>
              <w:ind w:left="147" w:right="38"/>
              <w:rPr>
                <w:sz w:val="21"/>
              </w:rPr>
            </w:pPr>
            <w:r>
              <w:rPr>
                <w:sz w:val="21"/>
              </w:rPr>
              <w:t xml:space="preserve">分值 </w:t>
            </w:r>
          </w:p>
        </w:tc>
        <w:tc>
          <w:tcPr>
            <w:tcW w:w="5779" w:type="dxa"/>
          </w:tcPr>
          <w:p>
            <w:pPr>
              <w:pStyle w:val="6"/>
              <w:spacing w:before="3"/>
              <w:rPr>
                <w:sz w:val="15"/>
              </w:rPr>
            </w:pPr>
          </w:p>
          <w:p>
            <w:pPr>
              <w:pStyle w:val="6"/>
              <w:ind w:right="1917"/>
              <w:jc w:val="center"/>
              <w:rPr>
                <w:rFonts w:hint="default" w:eastAsia="宋体"/>
                <w:sz w:val="21"/>
                <w:lang w:val="en-US" w:eastAsia="zh-CN"/>
              </w:rPr>
            </w:pPr>
            <w:r>
              <w:rPr>
                <w:rFonts w:hint="eastAsia"/>
                <w:sz w:val="21"/>
                <w:lang w:val="en-US" w:eastAsia="zh-CN"/>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7" w:hRule="atLeast"/>
        </w:trPr>
        <w:tc>
          <w:tcPr>
            <w:tcW w:w="992" w:type="dxa"/>
            <w:vAlign w:val="center"/>
          </w:tcPr>
          <w:p>
            <w:pPr>
              <w:pStyle w:val="6"/>
              <w:spacing w:before="7"/>
              <w:jc w:val="center"/>
              <w:rPr>
                <w:sz w:val="18"/>
              </w:rPr>
            </w:pPr>
          </w:p>
          <w:p>
            <w:pPr>
              <w:pStyle w:val="6"/>
              <w:spacing w:line="242" w:lineRule="auto"/>
              <w:ind w:left="138" w:right="28" w:hanging="108"/>
              <w:jc w:val="center"/>
              <w:rPr>
                <w:sz w:val="21"/>
              </w:rPr>
            </w:pPr>
            <w:r>
              <w:rPr>
                <w:sz w:val="21"/>
              </w:rPr>
              <w:t>投标报价(30分）</w:t>
            </w:r>
          </w:p>
        </w:tc>
        <w:tc>
          <w:tcPr>
            <w:tcW w:w="1983" w:type="dxa"/>
            <w:vAlign w:val="center"/>
          </w:tcPr>
          <w:p>
            <w:pPr>
              <w:pStyle w:val="6"/>
              <w:spacing w:before="3"/>
              <w:jc w:val="center"/>
              <w:rPr>
                <w:sz w:val="29"/>
              </w:rPr>
            </w:pPr>
          </w:p>
          <w:p>
            <w:pPr>
              <w:pStyle w:val="6"/>
              <w:ind w:left="1"/>
              <w:jc w:val="center"/>
              <w:rPr>
                <w:sz w:val="21"/>
              </w:rPr>
            </w:pPr>
            <w:r>
              <w:rPr>
                <w:sz w:val="21"/>
              </w:rPr>
              <w:t>投标报价</w:t>
            </w:r>
          </w:p>
        </w:tc>
        <w:tc>
          <w:tcPr>
            <w:tcW w:w="498" w:type="dxa"/>
            <w:vAlign w:val="center"/>
          </w:tcPr>
          <w:p>
            <w:pPr>
              <w:pStyle w:val="6"/>
              <w:spacing w:before="3"/>
              <w:jc w:val="center"/>
              <w:rPr>
                <w:sz w:val="29"/>
              </w:rPr>
            </w:pPr>
          </w:p>
          <w:p>
            <w:pPr>
              <w:pStyle w:val="6"/>
              <w:ind w:left="125" w:right="124"/>
              <w:jc w:val="center"/>
              <w:rPr>
                <w:sz w:val="21"/>
              </w:rPr>
            </w:pPr>
            <w:r>
              <w:rPr>
                <w:sz w:val="21"/>
              </w:rPr>
              <w:t>30</w:t>
            </w:r>
          </w:p>
        </w:tc>
        <w:tc>
          <w:tcPr>
            <w:tcW w:w="5779" w:type="dxa"/>
          </w:tcPr>
          <w:p>
            <w:pPr>
              <w:pStyle w:val="6"/>
              <w:spacing w:before="92"/>
              <w:ind w:left="105"/>
              <w:rPr>
                <w:sz w:val="21"/>
              </w:rPr>
            </w:pPr>
            <w:r>
              <w:rPr>
                <w:sz w:val="21"/>
              </w:rPr>
              <w:t xml:space="preserve">(1)评标价 q 确定方法：  </w:t>
            </w:r>
          </w:p>
          <w:p>
            <w:pPr>
              <w:pStyle w:val="6"/>
              <w:spacing w:before="24"/>
              <w:ind w:left="105"/>
              <w:rPr>
                <w:sz w:val="21"/>
              </w:rPr>
            </w:pPr>
            <w:r>
              <w:rPr>
                <w:sz w:val="21"/>
              </w:rPr>
              <w:t xml:space="preserve">投标评标价 q＝投标函大写报价  </w:t>
            </w:r>
          </w:p>
          <w:p>
            <w:pPr>
              <w:pStyle w:val="6"/>
              <w:spacing w:before="23"/>
              <w:ind w:left="105"/>
              <w:rPr>
                <w:sz w:val="21"/>
              </w:rPr>
            </w:pPr>
            <w:r>
              <w:rPr>
                <w:sz w:val="21"/>
              </w:rPr>
              <w:t xml:space="preserve">(2)评标基准价 Q 计算方法：  </w:t>
            </w:r>
          </w:p>
          <w:p>
            <w:pPr>
              <w:pStyle w:val="6"/>
              <w:spacing w:before="25" w:line="270" w:lineRule="atLeast"/>
              <w:ind w:left="105" w:right="103"/>
              <w:rPr>
                <w:sz w:val="21"/>
              </w:rPr>
            </w:pPr>
            <w:r>
              <w:rPr>
                <w:sz w:val="21"/>
              </w:rPr>
              <w:t xml:space="preserve">所有有效投标的评标价去掉一个最高值和一个最低值后的算术平均值作为评标基准价。（如果有效供应商少于或等于5家时，计算算术平均值时不去掉最高值和最低值） </w:t>
            </w:r>
          </w:p>
          <w:p>
            <w:pPr>
              <w:pStyle w:val="6"/>
              <w:spacing w:before="61"/>
              <w:rPr>
                <w:sz w:val="21"/>
              </w:rPr>
            </w:pPr>
            <w:r>
              <w:rPr>
                <w:sz w:val="21"/>
              </w:rPr>
              <w:t xml:space="preserve">（3）投标报价等于评标基准价的得30分； </w:t>
            </w:r>
          </w:p>
          <w:p>
            <w:pPr>
              <w:pStyle w:val="6"/>
              <w:spacing w:before="24" w:line="270" w:lineRule="atLeast"/>
              <w:ind w:right="94"/>
              <w:rPr>
                <w:sz w:val="21"/>
              </w:rPr>
            </w:pPr>
            <w:r>
              <w:rPr>
                <w:sz w:val="21"/>
              </w:rPr>
              <w:t xml:space="preserve">（4）投标报价q低于评标基准价Q的，每低于 1.0% 扣0.5分，扣完为止；得分公式为：K=30-[（Q-q）/Q]×100×0.5  </w:t>
            </w:r>
          </w:p>
          <w:p>
            <w:pPr>
              <w:pStyle w:val="6"/>
              <w:spacing w:before="25" w:line="261" w:lineRule="exact"/>
              <w:rPr>
                <w:sz w:val="21"/>
              </w:rPr>
            </w:pPr>
            <w:r>
              <w:rPr>
                <w:rFonts w:hint="eastAsia"/>
                <w:sz w:val="21"/>
                <w:lang w:eastAsia="zh-CN"/>
              </w:rPr>
              <w:t>（</w:t>
            </w:r>
            <w:r>
              <w:rPr>
                <w:sz w:val="21"/>
              </w:rPr>
              <w:t>5）投标报价q高于评标基准价Q的，每高</w:t>
            </w:r>
            <w:r>
              <w:rPr>
                <w:rFonts w:hint="eastAsia"/>
                <w:sz w:val="21"/>
                <w:lang w:val="en-US" w:eastAsia="zh-CN"/>
              </w:rPr>
              <w:t>于</w:t>
            </w:r>
            <w:r>
              <w:rPr>
                <w:sz w:val="21"/>
              </w:rPr>
              <w:t>1.0%扣1分，扣完为止；得分公式为： K=30+[（Q-q）/Q]×100×1</w:t>
            </w:r>
            <w:r>
              <w:rPr>
                <w:rFonts w:hint="eastAsia"/>
                <w:sz w:val="21"/>
                <w:lang w:eastAsia="zh-CN"/>
              </w:rPr>
              <w:t>，</w:t>
            </w:r>
            <w:r>
              <w:rPr>
                <w:rFonts w:hint="eastAsia"/>
                <w:sz w:val="21"/>
                <w:lang w:val="en-US" w:eastAsia="zh-CN"/>
              </w:rPr>
              <w:t>分值四舍五入保留两位小数。</w:t>
            </w:r>
            <w:r>
              <w:rPr>
                <w:sz w:val="21"/>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8" w:hRule="atLeast"/>
        </w:trPr>
        <w:tc>
          <w:tcPr>
            <w:tcW w:w="992" w:type="dxa"/>
            <w:vMerge w:val="restart"/>
            <w:vAlign w:val="center"/>
          </w:tcPr>
          <w:p>
            <w:pPr>
              <w:pStyle w:val="6"/>
              <w:spacing w:before="80" w:line="226" w:lineRule="exact"/>
              <w:ind w:left="0" w:leftChars="0" w:right="28" w:rightChars="0"/>
              <w:jc w:val="center"/>
              <w:rPr>
                <w:sz w:val="21"/>
              </w:rPr>
            </w:pPr>
            <w:r>
              <w:rPr>
                <w:sz w:val="21"/>
              </w:rPr>
              <w:t>商务评审</w:t>
            </w:r>
          </w:p>
          <w:p>
            <w:pPr>
              <w:pStyle w:val="6"/>
              <w:spacing w:before="25" w:line="252" w:lineRule="exact"/>
              <w:ind w:left="0" w:leftChars="0" w:right="80" w:rightChars="0"/>
              <w:jc w:val="center"/>
              <w:rPr>
                <w:rFonts w:ascii="宋体" w:hAnsi="宋体" w:eastAsia="宋体" w:cs="宋体"/>
                <w:sz w:val="21"/>
                <w:szCs w:val="22"/>
                <w:lang w:val="zh-CN" w:eastAsia="zh-CN" w:bidi="zh-CN"/>
              </w:rPr>
            </w:pPr>
            <w:r>
              <w:rPr>
                <w:sz w:val="21"/>
              </w:rPr>
              <w:t>（</w:t>
            </w:r>
            <w:r>
              <w:rPr>
                <w:rFonts w:hint="eastAsia"/>
                <w:sz w:val="21"/>
                <w:lang w:val="en-US" w:eastAsia="zh-CN"/>
              </w:rPr>
              <w:t>20</w:t>
            </w:r>
            <w:r>
              <w:rPr>
                <w:sz w:val="21"/>
              </w:rPr>
              <w:t>分）</w:t>
            </w:r>
          </w:p>
        </w:tc>
        <w:tc>
          <w:tcPr>
            <w:tcW w:w="1983" w:type="dxa"/>
            <w:vAlign w:val="center"/>
          </w:tcPr>
          <w:p>
            <w:pPr>
              <w:pStyle w:val="6"/>
              <w:jc w:val="center"/>
              <w:rPr>
                <w:rFonts w:hint="eastAsia" w:eastAsia="宋体"/>
                <w:sz w:val="21"/>
                <w:lang w:val="en-US" w:eastAsia="zh-CN"/>
              </w:rPr>
            </w:pPr>
            <w:r>
              <w:rPr>
                <w:rFonts w:hint="eastAsia"/>
                <w:sz w:val="21"/>
                <w:lang w:val="en-US" w:eastAsia="zh-CN"/>
              </w:rPr>
              <w:t>企业业绩</w:t>
            </w:r>
          </w:p>
        </w:tc>
        <w:tc>
          <w:tcPr>
            <w:tcW w:w="498" w:type="dxa"/>
            <w:vAlign w:val="center"/>
          </w:tcPr>
          <w:p>
            <w:pPr>
              <w:pStyle w:val="6"/>
              <w:jc w:val="center"/>
              <w:rPr>
                <w:sz w:val="20"/>
              </w:rPr>
            </w:pPr>
          </w:p>
          <w:p>
            <w:pPr>
              <w:pStyle w:val="6"/>
              <w:jc w:val="center"/>
              <w:rPr>
                <w:rFonts w:hint="default" w:eastAsia="宋体"/>
                <w:sz w:val="21"/>
                <w:lang w:val="en-US" w:eastAsia="zh-CN"/>
              </w:rPr>
            </w:pPr>
            <w:r>
              <w:rPr>
                <w:rFonts w:hint="eastAsia"/>
                <w:w w:val="100"/>
                <w:sz w:val="21"/>
                <w:lang w:val="en-US" w:eastAsia="zh-CN"/>
              </w:rPr>
              <w:t>10</w:t>
            </w:r>
          </w:p>
        </w:tc>
        <w:tc>
          <w:tcPr>
            <w:tcW w:w="5779" w:type="dxa"/>
          </w:tcPr>
          <w:p>
            <w:pPr>
              <w:pStyle w:val="6"/>
              <w:spacing w:before="35" w:line="242" w:lineRule="auto"/>
              <w:ind w:left="105" w:right="234"/>
              <w:rPr>
                <w:sz w:val="21"/>
                <w:highlight w:val="none"/>
              </w:rPr>
            </w:pPr>
            <w:r>
              <w:rPr>
                <w:rFonts w:hint="eastAsia"/>
                <w:sz w:val="21"/>
                <w:highlight w:val="none"/>
                <w:lang w:val="en-US" w:eastAsia="zh-CN"/>
              </w:rPr>
              <w:t>投标人</w:t>
            </w:r>
            <w:r>
              <w:rPr>
                <w:rFonts w:hint="eastAsia"/>
                <w:sz w:val="21"/>
                <w:highlight w:val="none"/>
              </w:rPr>
              <w:t>近三年(指20</w:t>
            </w:r>
            <w:r>
              <w:rPr>
                <w:rFonts w:hint="eastAsia"/>
                <w:sz w:val="21"/>
                <w:highlight w:val="none"/>
                <w:lang w:val="en-US" w:eastAsia="zh-CN"/>
              </w:rPr>
              <w:t>20</w:t>
            </w:r>
            <w:r>
              <w:rPr>
                <w:rFonts w:hint="eastAsia"/>
                <w:sz w:val="21"/>
                <w:highlight w:val="none"/>
              </w:rPr>
              <w:t>年</w:t>
            </w:r>
            <w:r>
              <w:rPr>
                <w:rFonts w:hint="eastAsia"/>
                <w:sz w:val="21"/>
                <w:highlight w:val="none"/>
                <w:lang w:val="en-US" w:eastAsia="zh-CN"/>
              </w:rPr>
              <w:t>9</w:t>
            </w:r>
            <w:r>
              <w:rPr>
                <w:rFonts w:hint="eastAsia"/>
                <w:sz w:val="21"/>
                <w:highlight w:val="none"/>
              </w:rPr>
              <w:t>月至今)有</w:t>
            </w:r>
            <w:r>
              <w:rPr>
                <w:rFonts w:hint="eastAsia"/>
                <w:sz w:val="21"/>
                <w:highlight w:val="none"/>
                <w:lang w:val="en-US" w:eastAsia="zh-CN"/>
              </w:rPr>
              <w:t>单项合同金额50万元及以上的电梯采购项目</w:t>
            </w:r>
            <w:r>
              <w:rPr>
                <w:rFonts w:hint="eastAsia"/>
                <w:sz w:val="21"/>
                <w:highlight w:val="none"/>
              </w:rPr>
              <w:t>，每项得</w:t>
            </w:r>
            <w:r>
              <w:rPr>
                <w:rFonts w:hint="eastAsia"/>
                <w:sz w:val="21"/>
                <w:highlight w:val="none"/>
                <w:lang w:val="en-US" w:eastAsia="zh-CN"/>
              </w:rPr>
              <w:t>2</w:t>
            </w:r>
            <w:r>
              <w:rPr>
                <w:rFonts w:hint="eastAsia"/>
                <w:sz w:val="21"/>
                <w:highlight w:val="none"/>
              </w:rPr>
              <w:t>分，最多得1</w:t>
            </w:r>
            <w:r>
              <w:rPr>
                <w:rFonts w:hint="eastAsia"/>
                <w:sz w:val="21"/>
                <w:highlight w:val="none"/>
                <w:lang w:val="en-US" w:eastAsia="zh-CN"/>
              </w:rPr>
              <w:t>0</w:t>
            </w:r>
            <w:r>
              <w:rPr>
                <w:rFonts w:hint="eastAsia"/>
                <w:sz w:val="21"/>
                <w:highlight w:val="none"/>
              </w:rPr>
              <w:t>分。(提供合同复印件加盖公章，以合同签订时间为准)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9" w:hRule="atLeast"/>
        </w:trPr>
        <w:tc>
          <w:tcPr>
            <w:tcW w:w="992" w:type="dxa"/>
            <w:vMerge w:val="continue"/>
            <w:vAlign w:val="top"/>
          </w:tcPr>
          <w:p>
            <w:pPr>
              <w:pStyle w:val="6"/>
              <w:spacing w:before="25" w:line="252" w:lineRule="exact"/>
              <w:ind w:left="0" w:leftChars="0" w:right="80" w:rightChars="0"/>
              <w:jc w:val="right"/>
              <w:rPr>
                <w:rFonts w:ascii="宋体" w:hAnsi="宋体" w:eastAsia="宋体" w:cs="宋体"/>
                <w:sz w:val="21"/>
                <w:szCs w:val="22"/>
                <w:lang w:val="zh-CN" w:eastAsia="zh-CN" w:bidi="zh-CN"/>
              </w:rPr>
            </w:pPr>
          </w:p>
        </w:tc>
        <w:tc>
          <w:tcPr>
            <w:tcW w:w="1983" w:type="dxa"/>
            <w:vAlign w:val="center"/>
          </w:tcPr>
          <w:p>
            <w:pPr>
              <w:pStyle w:val="6"/>
              <w:spacing w:before="95"/>
              <w:ind w:left="71"/>
              <w:jc w:val="center"/>
              <w:rPr>
                <w:sz w:val="21"/>
              </w:rPr>
            </w:pPr>
            <w:r>
              <w:rPr>
                <w:sz w:val="21"/>
              </w:rPr>
              <w:t>质量管理体系认证</w:t>
            </w:r>
          </w:p>
        </w:tc>
        <w:tc>
          <w:tcPr>
            <w:tcW w:w="498" w:type="dxa"/>
            <w:vAlign w:val="center"/>
          </w:tcPr>
          <w:p>
            <w:pPr>
              <w:pStyle w:val="6"/>
              <w:spacing w:before="169"/>
              <w:ind w:left="1"/>
              <w:jc w:val="center"/>
              <w:rPr>
                <w:rFonts w:hint="eastAsia" w:eastAsia="宋体"/>
                <w:sz w:val="21"/>
                <w:lang w:eastAsia="zh-CN"/>
              </w:rPr>
            </w:pPr>
            <w:r>
              <w:rPr>
                <w:rFonts w:hint="eastAsia"/>
                <w:w w:val="100"/>
                <w:sz w:val="21"/>
                <w:lang w:val="en-US" w:eastAsia="zh-CN"/>
              </w:rPr>
              <w:t>5</w:t>
            </w:r>
          </w:p>
        </w:tc>
        <w:tc>
          <w:tcPr>
            <w:tcW w:w="5779" w:type="dxa"/>
          </w:tcPr>
          <w:p>
            <w:pPr>
              <w:pStyle w:val="6"/>
              <w:spacing w:before="78" w:line="259" w:lineRule="exact"/>
              <w:ind w:left="105"/>
              <w:rPr>
                <w:sz w:val="21"/>
                <w:highlight w:val="none"/>
              </w:rPr>
            </w:pPr>
            <w:r>
              <w:rPr>
                <w:rFonts w:hint="eastAsia"/>
                <w:sz w:val="21"/>
                <w:highlight w:val="none"/>
                <w:lang w:val="en-US" w:eastAsia="zh-CN"/>
              </w:rPr>
              <w:t>投标人</w:t>
            </w:r>
            <w:r>
              <w:rPr>
                <w:sz w:val="21"/>
                <w:highlight w:val="none"/>
              </w:rPr>
              <w:t>具有有效的 ISO9001（GB/T19001)质量管理</w:t>
            </w:r>
          </w:p>
          <w:p>
            <w:pPr>
              <w:pStyle w:val="6"/>
              <w:spacing w:line="261" w:lineRule="exact"/>
              <w:ind w:left="105"/>
              <w:rPr>
                <w:sz w:val="21"/>
                <w:highlight w:val="none"/>
              </w:rPr>
            </w:pPr>
            <w:r>
              <w:rPr>
                <w:spacing w:val="4"/>
                <w:sz w:val="21"/>
                <w:highlight w:val="none"/>
              </w:rPr>
              <w:t>体系认证证书、</w:t>
            </w:r>
            <w:r>
              <w:rPr>
                <w:sz w:val="21"/>
                <w:highlight w:val="none"/>
              </w:rPr>
              <w:t>ISO14001（GB/T24001</w:t>
            </w:r>
            <w:r>
              <w:rPr>
                <w:spacing w:val="2"/>
                <w:sz w:val="21"/>
                <w:highlight w:val="none"/>
              </w:rPr>
              <w:t>)环境管理体</w:t>
            </w:r>
          </w:p>
          <w:p>
            <w:pPr>
              <w:pStyle w:val="6"/>
              <w:spacing w:before="4" w:line="259" w:lineRule="exact"/>
              <w:ind w:left="105"/>
              <w:rPr>
                <w:sz w:val="21"/>
                <w:highlight w:val="none"/>
              </w:rPr>
            </w:pPr>
            <w:r>
              <w:rPr>
                <w:sz w:val="21"/>
                <w:highlight w:val="none"/>
              </w:rPr>
              <w:t>系认证证书、</w:t>
            </w:r>
            <w:r>
              <w:rPr>
                <w:spacing w:val="-3"/>
                <w:sz w:val="21"/>
                <w:highlight w:val="none"/>
              </w:rPr>
              <w:t>OHSA18001（GB/T28001)职业健康安全</w:t>
            </w:r>
          </w:p>
          <w:p>
            <w:pPr>
              <w:pStyle w:val="6"/>
              <w:spacing w:line="261" w:lineRule="exact"/>
              <w:ind w:left="105"/>
              <w:rPr>
                <w:sz w:val="21"/>
                <w:highlight w:val="none"/>
              </w:rPr>
            </w:pPr>
            <w:r>
              <w:rPr>
                <w:sz w:val="21"/>
                <w:highlight w:val="none"/>
              </w:rPr>
              <w:t>管理体系认证证书，得</w:t>
            </w:r>
            <w:r>
              <w:rPr>
                <w:rFonts w:hint="eastAsia"/>
                <w:sz w:val="21"/>
                <w:highlight w:val="none"/>
                <w:lang w:val="en-US" w:eastAsia="zh-CN"/>
              </w:rPr>
              <w:t>5</w:t>
            </w:r>
            <w:r>
              <w:rPr>
                <w:sz w:val="21"/>
                <w:highlight w:val="none"/>
              </w:rPr>
              <w:t>分，缺一项不得分。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992" w:type="dxa"/>
            <w:vMerge w:val="continue"/>
            <w:tcBorders>
              <w:bottom w:val="single" w:color="auto" w:sz="4" w:space="0"/>
            </w:tcBorders>
          </w:tcPr>
          <w:p>
            <w:pPr>
              <w:pStyle w:val="6"/>
              <w:rPr>
                <w:rFonts w:ascii="Times New Roman"/>
                <w:sz w:val="20"/>
              </w:rPr>
            </w:pPr>
          </w:p>
        </w:tc>
        <w:tc>
          <w:tcPr>
            <w:tcW w:w="1983" w:type="dxa"/>
            <w:tcBorders>
              <w:bottom w:val="single" w:color="auto" w:sz="4" w:space="0"/>
            </w:tcBorders>
            <w:vAlign w:val="center"/>
          </w:tcPr>
          <w:p>
            <w:pPr>
              <w:pStyle w:val="6"/>
              <w:spacing w:before="5"/>
              <w:jc w:val="center"/>
              <w:rPr>
                <w:sz w:val="18"/>
              </w:rPr>
            </w:pPr>
          </w:p>
          <w:p>
            <w:pPr>
              <w:pStyle w:val="6"/>
              <w:jc w:val="center"/>
              <w:rPr>
                <w:sz w:val="21"/>
              </w:rPr>
            </w:pPr>
            <w:r>
              <w:rPr>
                <w:sz w:val="21"/>
              </w:rPr>
              <w:t>投保产品责任险</w:t>
            </w:r>
          </w:p>
        </w:tc>
        <w:tc>
          <w:tcPr>
            <w:tcW w:w="498" w:type="dxa"/>
            <w:vAlign w:val="center"/>
          </w:tcPr>
          <w:p>
            <w:pPr>
              <w:pStyle w:val="6"/>
              <w:spacing w:before="6"/>
              <w:jc w:val="center"/>
              <w:rPr>
                <w:sz w:val="19"/>
              </w:rPr>
            </w:pPr>
          </w:p>
          <w:p>
            <w:pPr>
              <w:pStyle w:val="6"/>
              <w:jc w:val="center"/>
              <w:rPr>
                <w:rFonts w:hint="eastAsia" w:ascii="Times New Roman" w:eastAsia="宋体"/>
                <w:sz w:val="20"/>
                <w:lang w:eastAsia="zh-CN"/>
              </w:rPr>
            </w:pPr>
            <w:r>
              <w:rPr>
                <w:rFonts w:hint="eastAsia"/>
                <w:w w:val="100"/>
                <w:sz w:val="21"/>
                <w:lang w:val="en-US" w:eastAsia="zh-CN"/>
              </w:rPr>
              <w:t>5</w:t>
            </w:r>
          </w:p>
        </w:tc>
        <w:tc>
          <w:tcPr>
            <w:tcW w:w="5779" w:type="dxa"/>
          </w:tcPr>
          <w:p>
            <w:pPr>
              <w:pStyle w:val="6"/>
              <w:spacing w:before="140" w:line="244" w:lineRule="auto"/>
              <w:ind w:left="105"/>
              <w:rPr>
                <w:sz w:val="21"/>
                <w:highlight w:val="none"/>
              </w:rPr>
            </w:pPr>
            <w:r>
              <w:rPr>
                <w:rFonts w:hint="eastAsia"/>
                <w:sz w:val="21"/>
                <w:highlight w:val="none"/>
                <w:lang w:val="en-US" w:eastAsia="zh-CN"/>
              </w:rPr>
              <w:t>投标人</w:t>
            </w:r>
            <w:r>
              <w:rPr>
                <w:sz w:val="21"/>
                <w:highlight w:val="none"/>
              </w:rPr>
              <w:t>为其产品投保产品责任险及公众责任险的得</w:t>
            </w:r>
            <w:r>
              <w:rPr>
                <w:rFonts w:hint="eastAsia"/>
                <w:sz w:val="21"/>
                <w:highlight w:val="none"/>
                <w:lang w:val="en-US" w:eastAsia="zh-CN"/>
              </w:rPr>
              <w:t>5</w:t>
            </w:r>
            <w:r>
              <w:rPr>
                <w:sz w:val="21"/>
                <w:highlight w:val="none"/>
              </w:rPr>
              <w:t xml:space="preserve">分，否则不得分。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7" w:hRule="atLeast"/>
        </w:trPr>
        <w:tc>
          <w:tcPr>
            <w:tcW w:w="992" w:type="dxa"/>
            <w:vMerge w:val="restart"/>
            <w:tcBorders>
              <w:top w:val="single" w:color="auto" w:sz="4" w:space="0"/>
            </w:tcBorders>
            <w:vAlign w:val="center"/>
          </w:tcPr>
          <w:p>
            <w:pPr>
              <w:pStyle w:val="6"/>
              <w:spacing w:before="134"/>
              <w:ind w:left="35"/>
              <w:jc w:val="center"/>
              <w:rPr>
                <w:sz w:val="21"/>
              </w:rPr>
            </w:pPr>
            <w:r>
              <w:rPr>
                <w:sz w:val="21"/>
              </w:rPr>
              <w:t>技术评审</w:t>
            </w:r>
          </w:p>
          <w:p>
            <w:pPr>
              <w:pStyle w:val="6"/>
              <w:jc w:val="center"/>
              <w:rPr>
                <w:rFonts w:ascii="Times New Roman"/>
                <w:sz w:val="20"/>
              </w:rPr>
            </w:pPr>
            <w:r>
              <w:rPr>
                <w:sz w:val="21"/>
              </w:rPr>
              <w:t>（</w:t>
            </w:r>
            <w:r>
              <w:rPr>
                <w:rFonts w:hint="eastAsia"/>
                <w:sz w:val="21"/>
                <w:lang w:val="en-US" w:eastAsia="zh-CN"/>
              </w:rPr>
              <w:t>4</w:t>
            </w:r>
            <w:r>
              <w:rPr>
                <w:sz w:val="21"/>
              </w:rPr>
              <w:t>0分）</w:t>
            </w:r>
          </w:p>
        </w:tc>
        <w:tc>
          <w:tcPr>
            <w:tcW w:w="1983" w:type="dxa"/>
            <w:tcBorders>
              <w:top w:val="single" w:color="auto" w:sz="4" w:space="0"/>
            </w:tcBorders>
            <w:vAlign w:val="center"/>
          </w:tcPr>
          <w:p>
            <w:pPr>
              <w:pStyle w:val="6"/>
              <w:spacing w:before="92"/>
              <w:ind w:left="3" w:leftChars="0" w:right="119" w:rightChars="0"/>
              <w:jc w:val="center"/>
              <w:rPr>
                <w:sz w:val="21"/>
              </w:rPr>
            </w:pPr>
            <w:r>
              <w:rPr>
                <w:sz w:val="21"/>
              </w:rPr>
              <w:t>电梯核心部件特种设备型式试验报告</w:t>
            </w:r>
          </w:p>
        </w:tc>
        <w:tc>
          <w:tcPr>
            <w:tcW w:w="498" w:type="dxa"/>
            <w:vAlign w:val="center"/>
          </w:tcPr>
          <w:p>
            <w:pPr>
              <w:pStyle w:val="6"/>
              <w:spacing w:before="2"/>
              <w:jc w:val="center"/>
              <w:rPr>
                <w:sz w:val="28"/>
              </w:rPr>
            </w:pPr>
          </w:p>
          <w:p>
            <w:pPr>
              <w:pStyle w:val="6"/>
              <w:ind w:left="128" w:leftChars="0" w:right="122" w:rightChars="0"/>
              <w:jc w:val="center"/>
              <w:rPr>
                <w:rFonts w:hint="eastAsia"/>
                <w:spacing w:val="7"/>
                <w:sz w:val="21"/>
                <w:lang w:val="en-US" w:eastAsia="zh-CN"/>
              </w:rPr>
            </w:pPr>
            <w:r>
              <w:rPr>
                <w:sz w:val="21"/>
              </w:rPr>
              <w:t>27</w:t>
            </w:r>
          </w:p>
        </w:tc>
        <w:tc>
          <w:tcPr>
            <w:tcW w:w="5779" w:type="dxa"/>
            <w:vAlign w:val="top"/>
          </w:tcPr>
          <w:p>
            <w:pPr>
              <w:pStyle w:val="6"/>
              <w:spacing w:before="66" w:line="259" w:lineRule="exact"/>
              <w:ind w:left="108"/>
              <w:rPr>
                <w:spacing w:val="-8"/>
                <w:sz w:val="21"/>
                <w:highlight w:val="none"/>
              </w:rPr>
            </w:pPr>
            <w:r>
              <w:rPr>
                <w:spacing w:val="-8"/>
                <w:sz w:val="21"/>
                <w:highlight w:val="none"/>
              </w:rPr>
              <w:t>电梯核心部件（曳引机、拖动及控制系统、层门门锁</w:t>
            </w:r>
          </w:p>
          <w:p>
            <w:pPr>
              <w:pStyle w:val="6"/>
              <w:ind w:left="108" w:right="88"/>
              <w:jc w:val="both"/>
              <w:rPr>
                <w:sz w:val="21"/>
                <w:highlight w:val="none"/>
              </w:rPr>
            </w:pPr>
            <w:r>
              <w:rPr>
                <w:spacing w:val="-8"/>
                <w:sz w:val="21"/>
                <w:highlight w:val="none"/>
              </w:rPr>
              <w:t>、安全电路、限速器、上行超速保护装置、轿厢意外移动保护装置、安全钳、缓冲器）</w:t>
            </w:r>
            <w:r>
              <w:rPr>
                <w:spacing w:val="-7"/>
                <w:sz w:val="21"/>
                <w:highlight w:val="none"/>
              </w:rPr>
              <w:t>的品牌与所投电梯</w:t>
            </w:r>
            <w:r>
              <w:rPr>
                <w:spacing w:val="-8"/>
                <w:sz w:val="21"/>
                <w:highlight w:val="none"/>
              </w:rPr>
              <w:t>品牌一致，提供有效期内的部件型式试验报告（</w:t>
            </w:r>
            <w:r>
              <w:rPr>
                <w:spacing w:val="-5"/>
                <w:sz w:val="21"/>
                <w:highlight w:val="none"/>
              </w:rPr>
              <w:t>复印</w:t>
            </w:r>
            <w:r>
              <w:rPr>
                <w:sz w:val="21"/>
                <w:highlight w:val="none"/>
              </w:rPr>
              <w:t>件加盖公章），9</w:t>
            </w:r>
            <w:r>
              <w:rPr>
                <w:spacing w:val="6"/>
                <w:sz w:val="21"/>
                <w:highlight w:val="none"/>
              </w:rPr>
              <w:t xml:space="preserve">项报告资料齐全得 </w:t>
            </w:r>
            <w:r>
              <w:rPr>
                <w:sz w:val="21"/>
                <w:highlight w:val="none"/>
              </w:rPr>
              <w:t>27</w:t>
            </w:r>
            <w:r>
              <w:rPr>
                <w:spacing w:val="4"/>
                <w:sz w:val="21"/>
                <w:highlight w:val="none"/>
              </w:rPr>
              <w:t>分，每缺一</w:t>
            </w:r>
            <w:r>
              <w:rPr>
                <w:sz w:val="21"/>
                <w:highlight w:val="none"/>
              </w:rPr>
              <w:t xml:space="preserve">项扣3分。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7" w:hRule="atLeast"/>
        </w:trPr>
        <w:tc>
          <w:tcPr>
            <w:tcW w:w="992" w:type="dxa"/>
            <w:vMerge w:val="continue"/>
            <w:vAlign w:val="center"/>
          </w:tcPr>
          <w:p>
            <w:pPr>
              <w:pStyle w:val="6"/>
              <w:jc w:val="center"/>
              <w:rPr>
                <w:rFonts w:ascii="Times New Roman"/>
                <w:sz w:val="20"/>
              </w:rPr>
            </w:pPr>
          </w:p>
        </w:tc>
        <w:tc>
          <w:tcPr>
            <w:tcW w:w="1983" w:type="dxa"/>
            <w:tcBorders>
              <w:top w:val="single" w:color="auto" w:sz="4" w:space="0"/>
            </w:tcBorders>
            <w:vAlign w:val="center"/>
          </w:tcPr>
          <w:p>
            <w:pPr>
              <w:pStyle w:val="6"/>
              <w:spacing w:line="245" w:lineRule="exact"/>
              <w:ind w:left="3" w:right="-15"/>
              <w:jc w:val="center"/>
              <w:rPr>
                <w:sz w:val="21"/>
              </w:rPr>
            </w:pPr>
            <w:r>
              <w:rPr>
                <w:spacing w:val="11"/>
                <w:sz w:val="21"/>
              </w:rPr>
              <w:t>电梯运行及开关门</w:t>
            </w:r>
          </w:p>
          <w:p>
            <w:pPr>
              <w:pStyle w:val="6"/>
              <w:spacing w:before="4"/>
              <w:ind w:left="3" w:leftChars="0" w:right="0" w:rightChars="0"/>
              <w:jc w:val="center"/>
              <w:rPr>
                <w:rFonts w:ascii="宋体" w:hAnsi="宋体" w:eastAsia="宋体" w:cs="宋体"/>
                <w:sz w:val="21"/>
                <w:szCs w:val="22"/>
                <w:lang w:val="zh-CN" w:eastAsia="zh-CN" w:bidi="zh-CN"/>
              </w:rPr>
            </w:pPr>
            <w:r>
              <w:rPr>
                <w:sz w:val="21"/>
              </w:rPr>
              <w:t>噪声</w:t>
            </w:r>
          </w:p>
        </w:tc>
        <w:tc>
          <w:tcPr>
            <w:tcW w:w="498" w:type="dxa"/>
            <w:vAlign w:val="center"/>
          </w:tcPr>
          <w:p>
            <w:pPr>
              <w:pStyle w:val="6"/>
              <w:spacing w:line="245" w:lineRule="exact"/>
              <w:ind w:left="3" w:leftChars="0" w:right="-15" w:rightChars="0"/>
              <w:jc w:val="center"/>
              <w:rPr>
                <w:rFonts w:hint="eastAsia" w:ascii="宋体" w:hAnsi="宋体" w:eastAsia="宋体" w:cs="宋体"/>
                <w:spacing w:val="7"/>
                <w:sz w:val="21"/>
                <w:szCs w:val="22"/>
                <w:lang w:val="en-US" w:eastAsia="zh-CN" w:bidi="zh-CN"/>
              </w:rPr>
            </w:pPr>
            <w:r>
              <w:rPr>
                <w:rFonts w:hint="eastAsia"/>
                <w:spacing w:val="7"/>
                <w:sz w:val="21"/>
                <w:lang w:val="en-US" w:eastAsia="zh-CN"/>
              </w:rPr>
              <w:t>3</w:t>
            </w:r>
          </w:p>
        </w:tc>
        <w:tc>
          <w:tcPr>
            <w:tcW w:w="5779" w:type="dxa"/>
            <w:vAlign w:val="top"/>
          </w:tcPr>
          <w:p>
            <w:pPr>
              <w:pStyle w:val="6"/>
              <w:spacing w:before="63" w:line="244" w:lineRule="exact"/>
              <w:ind w:left="108" w:leftChars="0" w:right="0" w:rightChars="0"/>
              <w:rPr>
                <w:sz w:val="21"/>
                <w:highlight w:val="none"/>
              </w:rPr>
            </w:pPr>
            <w:r>
              <w:rPr>
                <w:sz w:val="21"/>
                <w:highlight w:val="none"/>
              </w:rPr>
              <w:t>运行噪声≤42dB和开关门噪声≤52dB的</w:t>
            </w:r>
            <w:r>
              <w:rPr>
                <w:rFonts w:hint="eastAsia"/>
                <w:sz w:val="21"/>
                <w:highlight w:val="none"/>
                <w:lang w:val="en-US" w:eastAsia="zh-CN"/>
              </w:rPr>
              <w:t>得</w:t>
            </w:r>
            <w:r>
              <w:rPr>
                <w:sz w:val="21"/>
                <w:highlight w:val="none"/>
              </w:rPr>
              <w:t>3分，运行噪</w:t>
            </w:r>
          </w:p>
          <w:p>
            <w:pPr>
              <w:pStyle w:val="6"/>
              <w:spacing w:before="3" w:line="268" w:lineRule="exact"/>
              <w:ind w:left="108" w:leftChars="0" w:right="88" w:rightChars="0"/>
              <w:rPr>
                <w:rFonts w:ascii="宋体" w:hAnsi="宋体" w:eastAsia="宋体" w:cs="宋体"/>
                <w:sz w:val="21"/>
                <w:szCs w:val="22"/>
                <w:highlight w:val="none"/>
                <w:lang w:val="zh-CN" w:eastAsia="zh-CN" w:bidi="zh-CN"/>
              </w:rPr>
            </w:pPr>
            <w:r>
              <w:rPr>
                <w:sz w:val="21"/>
                <w:highlight w:val="none"/>
              </w:rPr>
              <w:t>声≤50dB和开关门噪声≤53dB的</w:t>
            </w:r>
            <w:r>
              <w:rPr>
                <w:rFonts w:hint="eastAsia"/>
                <w:sz w:val="21"/>
                <w:highlight w:val="none"/>
                <w:lang w:val="en-US" w:eastAsia="zh-CN"/>
              </w:rPr>
              <w:t>得</w:t>
            </w:r>
            <w:r>
              <w:rPr>
                <w:sz w:val="21"/>
                <w:highlight w:val="none"/>
              </w:rPr>
              <w:t>2分，运行噪声≤ 51dB和开关门噪声≤54dB的</w:t>
            </w:r>
            <w:r>
              <w:rPr>
                <w:rFonts w:hint="eastAsia"/>
                <w:sz w:val="21"/>
                <w:highlight w:val="none"/>
                <w:lang w:val="en-US" w:eastAsia="zh-CN"/>
              </w:rPr>
              <w:t>得</w:t>
            </w:r>
            <w:r>
              <w:rPr>
                <w:sz w:val="21"/>
                <w:highlight w:val="none"/>
              </w:rPr>
              <w:t xml:space="preserve">1分，提供有效期内的部件型式试验报告。（复印件加盖公章）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992" w:type="dxa"/>
            <w:vMerge w:val="continue"/>
          </w:tcPr>
          <w:p>
            <w:pPr>
              <w:pStyle w:val="6"/>
              <w:rPr>
                <w:rFonts w:ascii="Times New Roman"/>
                <w:sz w:val="20"/>
              </w:rPr>
            </w:pPr>
          </w:p>
        </w:tc>
        <w:tc>
          <w:tcPr>
            <w:tcW w:w="1983" w:type="dxa"/>
            <w:vAlign w:val="center"/>
          </w:tcPr>
          <w:p>
            <w:pPr>
              <w:pStyle w:val="6"/>
              <w:spacing w:before="166"/>
              <w:ind w:right="0" w:rightChars="0"/>
              <w:jc w:val="center"/>
              <w:rPr>
                <w:rFonts w:ascii="宋体" w:hAnsi="宋体" w:eastAsia="宋体" w:cs="宋体"/>
                <w:sz w:val="21"/>
                <w:szCs w:val="22"/>
                <w:lang w:val="zh-CN" w:eastAsia="zh-CN" w:bidi="zh-CN"/>
              </w:rPr>
            </w:pPr>
            <w:r>
              <w:rPr>
                <w:sz w:val="21"/>
              </w:rPr>
              <w:t>企业能力</w:t>
            </w:r>
          </w:p>
        </w:tc>
        <w:tc>
          <w:tcPr>
            <w:tcW w:w="498" w:type="dxa"/>
            <w:vAlign w:val="center"/>
          </w:tcPr>
          <w:p>
            <w:pPr>
              <w:pStyle w:val="6"/>
              <w:spacing w:before="91"/>
              <w:ind w:left="6" w:leftChars="0" w:right="0" w:rightChars="0"/>
              <w:jc w:val="center"/>
              <w:rPr>
                <w:rFonts w:hint="default" w:ascii="宋体" w:hAnsi="宋体" w:eastAsia="宋体" w:cs="宋体"/>
                <w:sz w:val="21"/>
                <w:szCs w:val="22"/>
                <w:lang w:val="en-US" w:eastAsia="zh-CN" w:bidi="zh-CN"/>
              </w:rPr>
            </w:pPr>
            <w:r>
              <w:rPr>
                <w:rFonts w:hint="eastAsia"/>
                <w:w w:val="100"/>
                <w:sz w:val="21"/>
                <w:lang w:val="en-US" w:eastAsia="zh-CN"/>
              </w:rPr>
              <w:t>3</w:t>
            </w:r>
          </w:p>
        </w:tc>
        <w:tc>
          <w:tcPr>
            <w:tcW w:w="5779" w:type="dxa"/>
            <w:vAlign w:val="top"/>
          </w:tcPr>
          <w:p>
            <w:pPr>
              <w:pStyle w:val="6"/>
              <w:spacing w:before="102" w:line="259" w:lineRule="exact"/>
              <w:ind w:left="108"/>
              <w:rPr>
                <w:rFonts w:ascii="宋体" w:hAnsi="宋体" w:eastAsia="宋体" w:cs="宋体"/>
                <w:sz w:val="21"/>
                <w:szCs w:val="22"/>
                <w:highlight w:val="none"/>
                <w:lang w:val="zh-CN" w:eastAsia="zh-CN" w:bidi="zh-CN"/>
              </w:rPr>
            </w:pPr>
            <w:r>
              <w:rPr>
                <w:rFonts w:hint="eastAsia"/>
                <w:spacing w:val="-8"/>
                <w:sz w:val="21"/>
                <w:highlight w:val="none"/>
                <w:lang w:val="en-US" w:eastAsia="zh-CN"/>
              </w:rPr>
              <w:t>投标人</w:t>
            </w:r>
            <w:r>
              <w:rPr>
                <w:spacing w:val="-8"/>
                <w:sz w:val="21"/>
                <w:highlight w:val="none"/>
              </w:rPr>
              <w:t>：获得中国质量检验协会颁发的全国质量检验</w:t>
            </w:r>
            <w:r>
              <w:rPr>
                <w:sz w:val="21"/>
                <w:highlight w:val="none"/>
              </w:rPr>
              <w:t>稳定合格产品得0.5分；获得省级及以上高新技术企业证书的得0.5分；具有中国合格评定国家认可委员</w:t>
            </w:r>
            <w:r>
              <w:rPr>
                <w:spacing w:val="-1"/>
                <w:sz w:val="21"/>
                <w:highlight w:val="none"/>
              </w:rPr>
              <w:t>会颁发的国家级检测中心认</w:t>
            </w:r>
            <w:r>
              <w:rPr>
                <w:spacing w:val="-4"/>
                <w:sz w:val="21"/>
                <w:highlight w:val="none"/>
              </w:rPr>
              <w:t>（CNAS</w:t>
            </w:r>
            <w:r>
              <w:rPr>
                <w:sz w:val="21"/>
                <w:highlight w:val="none"/>
              </w:rPr>
              <w:t>认证）得</w:t>
            </w:r>
            <w:r>
              <w:rPr>
                <w:spacing w:val="-4"/>
                <w:sz w:val="21"/>
                <w:highlight w:val="none"/>
              </w:rPr>
              <w:t>0.5</w:t>
            </w:r>
            <w:r>
              <w:rPr>
                <w:sz w:val="21"/>
                <w:highlight w:val="none"/>
              </w:rPr>
              <w:t>分</w:t>
            </w:r>
            <w:r>
              <w:rPr>
                <w:spacing w:val="-8"/>
                <w:sz w:val="21"/>
                <w:highlight w:val="none"/>
              </w:rPr>
              <w:t>；获得国际劳工组织颁发的企业可持续发展项目证书的得</w:t>
            </w:r>
            <w:r>
              <w:rPr>
                <w:spacing w:val="-5"/>
                <w:sz w:val="21"/>
                <w:highlight w:val="none"/>
              </w:rPr>
              <w:t>0.5</w:t>
            </w:r>
            <w:r>
              <w:rPr>
                <w:spacing w:val="-3"/>
                <w:sz w:val="21"/>
                <w:highlight w:val="none"/>
              </w:rPr>
              <w:t>分；获得省级及以上科学技术成果登记证书</w:t>
            </w:r>
            <w:r>
              <w:rPr>
                <w:spacing w:val="-7"/>
                <w:sz w:val="21"/>
                <w:highlight w:val="none"/>
              </w:rPr>
              <w:t>的一个得</w:t>
            </w:r>
            <w:r>
              <w:rPr>
                <w:spacing w:val="-6"/>
                <w:sz w:val="21"/>
                <w:highlight w:val="none"/>
              </w:rPr>
              <w:t>0.5</w:t>
            </w:r>
            <w:r>
              <w:rPr>
                <w:spacing w:val="-7"/>
                <w:sz w:val="21"/>
                <w:highlight w:val="none"/>
              </w:rPr>
              <w:t>分，最多得</w:t>
            </w:r>
            <w:r>
              <w:rPr>
                <w:spacing w:val="-8"/>
                <w:sz w:val="21"/>
                <w:highlight w:val="none"/>
              </w:rPr>
              <w:t>1</w:t>
            </w:r>
            <w:r>
              <w:rPr>
                <w:spacing w:val="-7"/>
                <w:sz w:val="21"/>
                <w:highlight w:val="none"/>
              </w:rPr>
              <w:t>分。</w:t>
            </w:r>
            <w:r>
              <w:rPr>
                <w:spacing w:val="-5"/>
                <w:sz w:val="21"/>
                <w:highlight w:val="none"/>
              </w:rPr>
              <w:t>（</w:t>
            </w:r>
            <w:r>
              <w:rPr>
                <w:spacing w:val="-8"/>
                <w:sz w:val="21"/>
                <w:highlight w:val="none"/>
              </w:rPr>
              <w:t>以上均提供复印件加</w:t>
            </w:r>
            <w:r>
              <w:rPr>
                <w:sz w:val="21"/>
                <w:highlight w:val="none"/>
              </w:rPr>
              <w:t>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992" w:type="dxa"/>
            <w:vMerge w:val="continue"/>
          </w:tcPr>
          <w:p>
            <w:pPr>
              <w:pStyle w:val="6"/>
              <w:rPr>
                <w:rFonts w:ascii="Times New Roman"/>
                <w:sz w:val="20"/>
              </w:rPr>
            </w:pPr>
          </w:p>
        </w:tc>
        <w:tc>
          <w:tcPr>
            <w:tcW w:w="1983" w:type="dxa"/>
            <w:vAlign w:val="top"/>
          </w:tcPr>
          <w:p>
            <w:pPr>
              <w:pStyle w:val="6"/>
              <w:spacing w:before="1"/>
              <w:jc w:val="center"/>
              <w:rPr>
                <w:sz w:val="15"/>
              </w:rPr>
            </w:pPr>
          </w:p>
          <w:p>
            <w:pPr>
              <w:pStyle w:val="6"/>
              <w:ind w:right="0" w:rightChars="0"/>
              <w:jc w:val="center"/>
              <w:rPr>
                <w:rFonts w:ascii="宋体" w:hAnsi="宋体" w:eastAsia="宋体" w:cs="宋体"/>
                <w:sz w:val="21"/>
                <w:szCs w:val="22"/>
                <w:lang w:val="zh-CN" w:eastAsia="zh-CN" w:bidi="zh-CN"/>
              </w:rPr>
            </w:pPr>
            <w:r>
              <w:rPr>
                <w:sz w:val="21"/>
              </w:rPr>
              <w:t>施工进度计划</w:t>
            </w:r>
          </w:p>
        </w:tc>
        <w:tc>
          <w:tcPr>
            <w:tcW w:w="498" w:type="dxa"/>
            <w:vAlign w:val="top"/>
          </w:tcPr>
          <w:p>
            <w:pPr>
              <w:pStyle w:val="6"/>
              <w:spacing w:before="6"/>
              <w:rPr>
                <w:sz w:val="17"/>
              </w:rPr>
            </w:pPr>
          </w:p>
          <w:p>
            <w:pPr>
              <w:pStyle w:val="6"/>
              <w:ind w:left="6" w:leftChars="0" w:right="0" w:rightChars="0"/>
              <w:jc w:val="center"/>
              <w:rPr>
                <w:rFonts w:hint="eastAsia" w:ascii="宋体" w:hAnsi="宋体" w:eastAsia="宋体" w:cs="宋体"/>
                <w:sz w:val="21"/>
                <w:szCs w:val="22"/>
                <w:lang w:val="en-US" w:eastAsia="zh-CN" w:bidi="zh-CN"/>
              </w:rPr>
            </w:pPr>
            <w:r>
              <w:rPr>
                <w:rFonts w:hint="eastAsia"/>
                <w:w w:val="100"/>
                <w:sz w:val="21"/>
                <w:lang w:val="en-US" w:eastAsia="zh-CN"/>
              </w:rPr>
              <w:t>3</w:t>
            </w:r>
          </w:p>
        </w:tc>
        <w:tc>
          <w:tcPr>
            <w:tcW w:w="5779" w:type="dxa"/>
            <w:vAlign w:val="top"/>
          </w:tcPr>
          <w:p>
            <w:pPr>
              <w:pStyle w:val="6"/>
              <w:spacing w:before="97" w:line="242" w:lineRule="auto"/>
              <w:ind w:left="45" w:leftChars="0" w:right="39" w:rightChars="0"/>
              <w:rPr>
                <w:rFonts w:ascii="宋体" w:hAnsi="宋体" w:eastAsia="宋体" w:cs="宋体"/>
                <w:sz w:val="21"/>
                <w:szCs w:val="22"/>
                <w:highlight w:val="none"/>
                <w:lang w:val="zh-CN" w:eastAsia="zh-CN" w:bidi="zh-CN"/>
              </w:rPr>
            </w:pPr>
            <w:r>
              <w:rPr>
                <w:sz w:val="21"/>
                <w:highlight w:val="none"/>
              </w:rPr>
              <w:t>施工进度安排及相关保障措施科学、合理、针对性强得3分；其他得0～2分。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992" w:type="dxa"/>
            <w:vMerge w:val="continue"/>
          </w:tcPr>
          <w:p>
            <w:pPr>
              <w:pStyle w:val="6"/>
              <w:rPr>
                <w:rFonts w:ascii="Times New Roman"/>
                <w:sz w:val="20"/>
              </w:rPr>
            </w:pPr>
          </w:p>
        </w:tc>
        <w:tc>
          <w:tcPr>
            <w:tcW w:w="1983" w:type="dxa"/>
            <w:vAlign w:val="center"/>
          </w:tcPr>
          <w:p>
            <w:pPr>
              <w:pStyle w:val="6"/>
              <w:ind w:right="0" w:rightChars="0"/>
              <w:jc w:val="center"/>
              <w:rPr>
                <w:rFonts w:ascii="宋体" w:hAnsi="宋体" w:eastAsia="宋体" w:cs="宋体"/>
                <w:sz w:val="21"/>
                <w:szCs w:val="22"/>
                <w:lang w:val="zh-CN" w:eastAsia="zh-CN" w:bidi="zh-CN"/>
              </w:rPr>
            </w:pPr>
            <w:r>
              <w:rPr>
                <w:sz w:val="21"/>
              </w:rPr>
              <w:t>主要施工方案</w:t>
            </w:r>
          </w:p>
        </w:tc>
        <w:tc>
          <w:tcPr>
            <w:tcW w:w="498" w:type="dxa"/>
            <w:vAlign w:val="top"/>
          </w:tcPr>
          <w:p>
            <w:pPr>
              <w:pStyle w:val="6"/>
              <w:spacing w:before="11"/>
              <w:rPr>
                <w:sz w:val="17"/>
              </w:rPr>
            </w:pPr>
          </w:p>
          <w:p>
            <w:pPr>
              <w:pStyle w:val="6"/>
              <w:ind w:left="6" w:leftChars="0" w:right="0" w:rightChars="0"/>
              <w:jc w:val="center"/>
              <w:rPr>
                <w:rFonts w:hint="eastAsia" w:ascii="宋体" w:hAnsi="宋体" w:eastAsia="宋体" w:cs="宋体"/>
                <w:sz w:val="21"/>
                <w:szCs w:val="22"/>
                <w:lang w:val="en-US" w:eastAsia="zh-CN" w:bidi="zh-CN"/>
              </w:rPr>
            </w:pPr>
            <w:r>
              <w:rPr>
                <w:rFonts w:hint="eastAsia"/>
                <w:w w:val="100"/>
                <w:sz w:val="21"/>
                <w:lang w:val="en-US" w:eastAsia="zh-CN"/>
              </w:rPr>
              <w:t>4</w:t>
            </w:r>
          </w:p>
        </w:tc>
        <w:tc>
          <w:tcPr>
            <w:tcW w:w="5779" w:type="dxa"/>
            <w:vAlign w:val="top"/>
          </w:tcPr>
          <w:p>
            <w:pPr>
              <w:pStyle w:val="6"/>
              <w:spacing w:before="92" w:line="244" w:lineRule="auto"/>
              <w:ind w:left="45" w:leftChars="0" w:right="39" w:rightChars="0"/>
              <w:rPr>
                <w:rFonts w:ascii="宋体" w:hAnsi="宋体" w:eastAsia="宋体" w:cs="宋体"/>
                <w:sz w:val="21"/>
                <w:szCs w:val="22"/>
                <w:highlight w:val="none"/>
                <w:lang w:val="zh-CN" w:eastAsia="zh-CN" w:bidi="zh-CN"/>
              </w:rPr>
            </w:pPr>
            <w:r>
              <w:rPr>
                <w:sz w:val="21"/>
                <w:highlight w:val="none"/>
              </w:rPr>
              <w:t>对电梯的安装、调试方法的描述合理、针对性强得4分；其他得 0～3分。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992" w:type="dxa"/>
            <w:vMerge w:val="restart"/>
            <w:vAlign w:val="center"/>
          </w:tcPr>
          <w:p>
            <w:pPr>
              <w:pStyle w:val="6"/>
              <w:ind w:right="76"/>
              <w:jc w:val="center"/>
              <w:rPr>
                <w:sz w:val="21"/>
              </w:rPr>
            </w:pPr>
            <w:r>
              <w:rPr>
                <w:spacing w:val="-2"/>
                <w:sz w:val="21"/>
              </w:rPr>
              <w:t>其他</w:t>
            </w:r>
          </w:p>
          <w:p>
            <w:pPr>
              <w:pStyle w:val="6"/>
              <w:spacing w:line="244" w:lineRule="auto"/>
              <w:ind w:right="76" w:rightChars="0"/>
              <w:jc w:val="center"/>
              <w:rPr>
                <w:sz w:val="21"/>
              </w:rPr>
            </w:pPr>
            <w:r>
              <w:rPr>
                <w:sz w:val="21"/>
              </w:rPr>
              <w:t>评审</w:t>
            </w:r>
          </w:p>
          <w:p>
            <w:pPr>
              <w:pStyle w:val="6"/>
              <w:spacing w:line="244" w:lineRule="auto"/>
              <w:ind w:right="76" w:rightChars="0"/>
              <w:jc w:val="center"/>
              <w:rPr>
                <w:rFonts w:ascii="宋体" w:hAnsi="宋体" w:eastAsia="宋体" w:cs="宋体"/>
                <w:sz w:val="21"/>
                <w:szCs w:val="22"/>
                <w:lang w:val="zh-CN" w:eastAsia="zh-CN" w:bidi="zh-CN"/>
              </w:rPr>
            </w:pPr>
            <w:r>
              <w:rPr>
                <w:spacing w:val="-9"/>
                <w:sz w:val="21"/>
              </w:rPr>
              <w:t>（</w:t>
            </w:r>
            <w:r>
              <w:rPr>
                <w:rFonts w:hint="eastAsia"/>
                <w:spacing w:val="-9"/>
                <w:sz w:val="21"/>
                <w:lang w:val="en-US" w:eastAsia="zh-CN"/>
              </w:rPr>
              <w:t>10</w:t>
            </w:r>
            <w:r>
              <w:rPr>
                <w:sz w:val="21"/>
              </w:rPr>
              <w:t>分）</w:t>
            </w:r>
          </w:p>
        </w:tc>
        <w:tc>
          <w:tcPr>
            <w:tcW w:w="1983" w:type="dxa"/>
            <w:vAlign w:val="top"/>
          </w:tcPr>
          <w:p>
            <w:pPr>
              <w:pStyle w:val="6"/>
              <w:spacing w:before="4"/>
              <w:jc w:val="both"/>
              <w:rPr>
                <w:sz w:val="26"/>
              </w:rPr>
            </w:pPr>
          </w:p>
          <w:p>
            <w:pPr>
              <w:pStyle w:val="6"/>
              <w:ind w:right="0" w:rightChars="0"/>
              <w:jc w:val="center"/>
              <w:rPr>
                <w:rFonts w:ascii="宋体" w:hAnsi="宋体" w:eastAsia="宋体" w:cs="宋体"/>
                <w:sz w:val="21"/>
                <w:szCs w:val="22"/>
                <w:lang w:val="zh-CN" w:eastAsia="zh-CN" w:bidi="zh-CN"/>
              </w:rPr>
            </w:pPr>
            <w:r>
              <w:rPr>
                <w:sz w:val="21"/>
              </w:rPr>
              <w:t>售后服务</w:t>
            </w:r>
          </w:p>
        </w:tc>
        <w:tc>
          <w:tcPr>
            <w:tcW w:w="498" w:type="dxa"/>
            <w:vAlign w:val="center"/>
          </w:tcPr>
          <w:p>
            <w:pPr>
              <w:pStyle w:val="6"/>
              <w:ind w:right="0" w:rightChars="0" w:firstLine="210" w:firstLineChars="100"/>
              <w:jc w:val="both"/>
              <w:rPr>
                <w:rFonts w:hint="default" w:ascii="宋体" w:hAnsi="宋体" w:eastAsia="宋体" w:cs="宋体"/>
                <w:sz w:val="21"/>
                <w:szCs w:val="22"/>
                <w:lang w:val="en-US" w:eastAsia="zh-CN" w:bidi="zh-CN"/>
              </w:rPr>
            </w:pPr>
            <w:r>
              <w:rPr>
                <w:rFonts w:hint="eastAsia"/>
                <w:w w:val="100"/>
                <w:sz w:val="21"/>
                <w:lang w:val="en-US" w:eastAsia="zh-CN"/>
              </w:rPr>
              <w:t>5</w:t>
            </w:r>
          </w:p>
        </w:tc>
        <w:tc>
          <w:tcPr>
            <w:tcW w:w="5779" w:type="dxa"/>
            <w:vAlign w:val="top"/>
          </w:tcPr>
          <w:p>
            <w:pPr>
              <w:pStyle w:val="6"/>
              <w:spacing w:before="87"/>
              <w:ind w:left="108" w:leftChars="0" w:right="-15" w:rightChars="0"/>
              <w:jc w:val="both"/>
              <w:rPr>
                <w:rFonts w:ascii="宋体" w:hAnsi="宋体" w:eastAsia="宋体" w:cs="宋体"/>
                <w:sz w:val="21"/>
                <w:szCs w:val="22"/>
                <w:highlight w:val="none"/>
                <w:lang w:val="zh-CN" w:eastAsia="zh-CN" w:bidi="zh-CN"/>
              </w:rPr>
            </w:pPr>
            <w:r>
              <w:rPr>
                <w:sz w:val="21"/>
                <w:highlight w:val="none"/>
              </w:rPr>
              <w:t>投标人承诺免费维保期在</w:t>
            </w:r>
            <w:r>
              <w:rPr>
                <w:rFonts w:hint="eastAsia"/>
                <w:sz w:val="21"/>
                <w:highlight w:val="none"/>
                <w:lang w:val="en-US" w:eastAsia="zh-CN"/>
              </w:rPr>
              <w:t>12</w:t>
            </w:r>
            <w:r>
              <w:rPr>
                <w:spacing w:val="-7"/>
                <w:sz w:val="21"/>
                <w:highlight w:val="none"/>
              </w:rPr>
              <w:t>个月</w:t>
            </w:r>
            <w:r>
              <w:rPr>
                <w:spacing w:val="-5"/>
                <w:sz w:val="21"/>
                <w:highlight w:val="none"/>
              </w:rPr>
              <w:t>（</w:t>
            </w:r>
            <w:r>
              <w:rPr>
                <w:rFonts w:hint="eastAsia"/>
                <w:spacing w:val="-5"/>
                <w:sz w:val="21"/>
                <w:highlight w:val="none"/>
                <w:lang w:val="en-US" w:eastAsia="zh-CN"/>
              </w:rPr>
              <w:t>质保期1年不得分</w:t>
            </w:r>
            <w:r>
              <w:rPr>
                <w:spacing w:val="-8"/>
                <w:sz w:val="21"/>
                <w:highlight w:val="none"/>
              </w:rPr>
              <w:t>）</w:t>
            </w:r>
            <w:r>
              <w:rPr>
                <w:spacing w:val="-7"/>
                <w:sz w:val="21"/>
                <w:highlight w:val="none"/>
              </w:rPr>
              <w:t>的基础上每</w:t>
            </w:r>
            <w:r>
              <w:rPr>
                <w:spacing w:val="4"/>
                <w:sz w:val="21"/>
                <w:highlight w:val="none"/>
              </w:rPr>
              <w:t>增加2个月加</w:t>
            </w:r>
            <w:r>
              <w:rPr>
                <w:sz w:val="21"/>
                <w:highlight w:val="none"/>
              </w:rPr>
              <w:t>0.5</w:t>
            </w:r>
            <w:r>
              <w:rPr>
                <w:spacing w:val="3"/>
                <w:sz w:val="21"/>
                <w:highlight w:val="none"/>
              </w:rPr>
              <w:t>分，本项最高得</w:t>
            </w:r>
            <w:r>
              <w:rPr>
                <w:rFonts w:hint="eastAsia"/>
                <w:spacing w:val="4"/>
                <w:sz w:val="21"/>
                <w:highlight w:val="none"/>
                <w:lang w:val="en-US" w:eastAsia="zh-CN"/>
              </w:rPr>
              <w:t>3</w:t>
            </w:r>
            <w:r>
              <w:rPr>
                <w:spacing w:val="-1"/>
                <w:sz w:val="21"/>
                <w:highlight w:val="none"/>
              </w:rPr>
              <w:t>分。投标人售后服</w:t>
            </w:r>
            <w:r>
              <w:rPr>
                <w:spacing w:val="-3"/>
                <w:sz w:val="21"/>
                <w:highlight w:val="none"/>
              </w:rPr>
              <w:t>务承诺</w:t>
            </w:r>
            <w:r>
              <w:rPr>
                <w:sz w:val="21"/>
                <w:highlight w:val="none"/>
              </w:rPr>
              <w:t>（</w:t>
            </w:r>
            <w:r>
              <w:rPr>
                <w:spacing w:val="-3"/>
                <w:sz w:val="21"/>
                <w:highlight w:val="none"/>
              </w:rPr>
              <w:t>包括保修期、故障响应时间、培训、备件供应等</w:t>
            </w:r>
            <w:r>
              <w:rPr>
                <w:sz w:val="21"/>
                <w:highlight w:val="none"/>
              </w:rPr>
              <w:t>）内容完备可行、针对性强得</w:t>
            </w:r>
            <w:r>
              <w:rPr>
                <w:rFonts w:hint="eastAsia"/>
                <w:sz w:val="21"/>
                <w:highlight w:val="none"/>
                <w:lang w:val="en-US" w:eastAsia="zh-CN"/>
              </w:rPr>
              <w:t>2</w:t>
            </w:r>
            <w:r>
              <w:rPr>
                <w:spacing w:val="2"/>
                <w:sz w:val="21"/>
                <w:highlight w:val="none"/>
              </w:rPr>
              <w:t>分，其他得0～</w:t>
            </w:r>
            <w:r>
              <w:rPr>
                <w:rFonts w:hint="eastAsia"/>
                <w:spacing w:val="2"/>
                <w:sz w:val="21"/>
                <w:highlight w:val="none"/>
                <w:lang w:val="en-US" w:eastAsia="zh-CN"/>
              </w:rPr>
              <w:t>1</w:t>
            </w:r>
            <w:r>
              <w:rPr>
                <w:sz w:val="21"/>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3" w:hRule="atLeast"/>
        </w:trPr>
        <w:tc>
          <w:tcPr>
            <w:tcW w:w="992" w:type="dxa"/>
            <w:vMerge w:val="continue"/>
          </w:tcPr>
          <w:p>
            <w:pPr>
              <w:pStyle w:val="6"/>
              <w:rPr>
                <w:rFonts w:ascii="Times New Roman"/>
                <w:sz w:val="20"/>
              </w:rPr>
            </w:pPr>
          </w:p>
        </w:tc>
        <w:tc>
          <w:tcPr>
            <w:tcW w:w="1983" w:type="dxa"/>
            <w:vAlign w:val="center"/>
          </w:tcPr>
          <w:p>
            <w:pPr>
              <w:pStyle w:val="6"/>
              <w:ind w:right="0" w:rightChars="0"/>
              <w:jc w:val="center"/>
              <w:rPr>
                <w:rFonts w:ascii="宋体" w:hAnsi="宋体" w:eastAsia="宋体" w:cs="宋体"/>
                <w:sz w:val="21"/>
                <w:szCs w:val="22"/>
                <w:lang w:val="zh-CN" w:eastAsia="zh-CN" w:bidi="zh-CN"/>
              </w:rPr>
            </w:pPr>
            <w:r>
              <w:rPr>
                <w:sz w:val="21"/>
              </w:rPr>
              <w:t>企业具备维保人员</w:t>
            </w:r>
          </w:p>
        </w:tc>
        <w:tc>
          <w:tcPr>
            <w:tcW w:w="498" w:type="dxa"/>
            <w:vAlign w:val="center"/>
          </w:tcPr>
          <w:p>
            <w:pPr>
              <w:pStyle w:val="6"/>
              <w:ind w:right="0" w:rightChars="0" w:firstLine="210" w:firstLineChars="100"/>
              <w:jc w:val="both"/>
              <w:rPr>
                <w:rFonts w:hint="default" w:ascii="Times New Roman" w:hAnsi="宋体" w:eastAsia="宋体" w:cs="宋体"/>
                <w:sz w:val="20"/>
                <w:szCs w:val="22"/>
                <w:lang w:val="en-US" w:eastAsia="zh-CN" w:bidi="zh-CN"/>
              </w:rPr>
            </w:pPr>
            <w:r>
              <w:rPr>
                <w:rFonts w:hint="eastAsia"/>
                <w:w w:val="100"/>
                <w:sz w:val="21"/>
                <w:lang w:val="en-US" w:eastAsia="zh-CN"/>
              </w:rPr>
              <w:t>5</w:t>
            </w:r>
          </w:p>
        </w:tc>
        <w:tc>
          <w:tcPr>
            <w:tcW w:w="5779" w:type="dxa"/>
            <w:vAlign w:val="center"/>
          </w:tcPr>
          <w:p>
            <w:pPr>
              <w:pStyle w:val="6"/>
              <w:ind w:right="-15" w:rightChars="0"/>
              <w:jc w:val="left"/>
              <w:rPr>
                <w:rFonts w:ascii="宋体" w:hAnsi="宋体" w:eastAsia="宋体" w:cs="宋体"/>
                <w:sz w:val="21"/>
                <w:szCs w:val="22"/>
                <w:highlight w:val="none"/>
                <w:lang w:val="zh-CN" w:eastAsia="zh-CN" w:bidi="zh-CN"/>
              </w:rPr>
            </w:pPr>
            <w:r>
              <w:rPr>
                <w:rFonts w:hint="eastAsia"/>
                <w:sz w:val="21"/>
                <w:highlight w:val="none"/>
                <w:lang w:val="en-US" w:eastAsia="zh-CN"/>
              </w:rPr>
              <w:t>每1</w:t>
            </w:r>
            <w:r>
              <w:rPr>
                <w:sz w:val="21"/>
                <w:highlight w:val="none"/>
              </w:rPr>
              <w:t>人的得</w:t>
            </w:r>
            <w:r>
              <w:rPr>
                <w:rFonts w:hint="eastAsia"/>
                <w:sz w:val="21"/>
                <w:highlight w:val="none"/>
                <w:lang w:val="en-US" w:eastAsia="zh-CN"/>
              </w:rPr>
              <w:t>1</w:t>
            </w:r>
            <w:r>
              <w:rPr>
                <w:sz w:val="21"/>
                <w:highlight w:val="none"/>
              </w:rPr>
              <w:t>分，</w:t>
            </w:r>
            <w:r>
              <w:rPr>
                <w:rFonts w:hint="eastAsia"/>
                <w:sz w:val="21"/>
                <w:highlight w:val="none"/>
                <w:lang w:val="en-US" w:eastAsia="zh-CN"/>
              </w:rPr>
              <w:t>最高</w:t>
            </w:r>
            <w:r>
              <w:rPr>
                <w:sz w:val="21"/>
                <w:highlight w:val="none"/>
              </w:rPr>
              <w:t>得</w:t>
            </w:r>
            <w:r>
              <w:rPr>
                <w:rFonts w:hint="eastAsia"/>
                <w:sz w:val="21"/>
                <w:highlight w:val="none"/>
                <w:lang w:val="en-US" w:eastAsia="zh-CN"/>
              </w:rPr>
              <w:t>5</w:t>
            </w:r>
            <w:r>
              <w:rPr>
                <w:sz w:val="21"/>
                <w:highlight w:val="none"/>
              </w:rPr>
              <w:t>分，提供地市级技术监督局颁发的特种设备作业人员证书及制造商或代理商为其缴纳的近6个月社保缴费证明。</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5YTY0ODM5MDM0ZDdiZDg1OGVlOWVmNDkyNTk0NmEifQ=="/>
  </w:docVars>
  <w:rsids>
    <w:rsidRoot w:val="59507BD4"/>
    <w:rsid w:val="041C6F4E"/>
    <w:rsid w:val="047A0911"/>
    <w:rsid w:val="0C0847B0"/>
    <w:rsid w:val="163915C7"/>
    <w:rsid w:val="194B373A"/>
    <w:rsid w:val="28D83AB6"/>
    <w:rsid w:val="3E8C68AA"/>
    <w:rsid w:val="48CB3432"/>
    <w:rsid w:val="59507BD4"/>
    <w:rsid w:val="646102B8"/>
    <w:rsid w:val="66936064"/>
    <w:rsid w:val="7D326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4"/>
    <w:basedOn w:val="1"/>
    <w:next w:val="1"/>
    <w:qFormat/>
    <w:uiPriority w:val="1"/>
    <w:pPr>
      <w:outlineLvl w:val="4"/>
    </w:pPr>
    <w:rPr>
      <w:rFonts w:ascii="宋体" w:hAnsi="宋体" w:eastAsia="宋体" w:cs="宋体"/>
      <w:b/>
      <w:bCs/>
      <w:sz w:val="28"/>
      <w:szCs w:val="28"/>
      <w:lang w:val="zh-CN" w:eastAsia="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1"/>
      <w:szCs w:val="21"/>
      <w:lang w:val="zh-CN" w:eastAsia="zh-CN" w:bidi="zh-CN"/>
    </w:rPr>
  </w:style>
  <w:style w:type="paragraph" w:customStyle="1" w:styleId="6">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2023-09-14T03:32:00Z</dcterms:created>
  <dc:creator>湖北省宇焱电梯有限公司</dc:creator>
  <cp:lastModifiedBy>Sun—</cp:lastModifiedBy>
  <cp:lastPrinted>2023-09-14T09:07:00Z</cp:lastPrinted>
  <dcterms:modified xsi:type="dcterms:W3CDTF">2023-09-15T03:01:40Z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F5B9B27519F2496F8866FE0D2798BD96_13</vt:lpwstr>
  </property>
</Properties>
</file>