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附件一</w:t>
      </w:r>
    </w:p>
    <w:p>
      <w:pPr>
        <w:jc w:val="center"/>
        <w:rPr>
          <w:rFonts w:hint="eastAsia" w:ascii="黑体" w:hAnsi="黑体" w:eastAsia="黑体" w:cs="Times New Roman"/>
          <w:kern w:val="0"/>
          <w:sz w:val="40"/>
          <w:szCs w:val="40"/>
          <w:lang w:val="en-US" w:eastAsia="zh-CN"/>
        </w:rPr>
      </w:pPr>
      <w:r>
        <w:rPr>
          <w:rFonts w:hint="eastAsia" w:ascii="黑体" w:hAnsi="黑体" w:eastAsia="黑体" w:cs="Times New Roman"/>
          <w:kern w:val="0"/>
          <w:sz w:val="40"/>
          <w:szCs w:val="40"/>
          <w:lang w:val="en-US" w:eastAsia="zh-CN"/>
        </w:rPr>
        <w:t>评分表</w:t>
      </w:r>
    </w:p>
    <w:tbl>
      <w:tblPr>
        <w:tblStyle w:val="8"/>
        <w:tblpPr w:leftFromText="180" w:rightFromText="180" w:vertAnchor="text" w:horzAnchor="page" w:tblpX="950" w:tblpY="240"/>
        <w:tblOverlap w:val="never"/>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21"/>
        <w:gridCol w:w="9678"/>
        <w:gridCol w:w="111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3" w:type="pct"/>
            <w:noWrap w:val="0"/>
            <w:vAlign w:val="center"/>
          </w:tcPr>
          <w:p>
            <w:pPr>
              <w:spacing w:line="300" w:lineRule="auto"/>
              <w:ind w:firstLine="0" w:firstLineChars="0"/>
              <w:rPr>
                <w:rFonts w:hint="eastAsia" w:cs="宋体"/>
                <w:b/>
                <w:bCs/>
                <w:sz w:val="21"/>
                <w:szCs w:val="21"/>
              </w:rPr>
            </w:pPr>
            <w:r>
              <w:rPr>
                <w:rFonts w:hint="eastAsia" w:cs="宋体"/>
                <w:b/>
                <w:bCs/>
                <w:sz w:val="21"/>
                <w:szCs w:val="21"/>
              </w:rPr>
              <w:t>序号</w:t>
            </w:r>
          </w:p>
        </w:tc>
        <w:tc>
          <w:tcPr>
            <w:tcW w:w="714" w:type="pct"/>
            <w:noWrap w:val="0"/>
            <w:vAlign w:val="center"/>
          </w:tcPr>
          <w:p>
            <w:pPr>
              <w:spacing w:line="300" w:lineRule="auto"/>
              <w:ind w:firstLine="0" w:firstLineChars="0"/>
              <w:jc w:val="center"/>
              <w:rPr>
                <w:rFonts w:hint="eastAsia" w:cs="宋体"/>
                <w:b/>
                <w:bCs/>
                <w:sz w:val="21"/>
                <w:szCs w:val="21"/>
              </w:rPr>
            </w:pPr>
            <w:r>
              <w:rPr>
                <w:rFonts w:hint="eastAsia" w:cs="宋体"/>
                <w:b/>
                <w:bCs/>
                <w:sz w:val="21"/>
                <w:szCs w:val="21"/>
              </w:rPr>
              <w:t>评分项目</w:t>
            </w:r>
          </w:p>
        </w:tc>
        <w:tc>
          <w:tcPr>
            <w:tcW w:w="3261" w:type="pct"/>
            <w:noWrap w:val="0"/>
            <w:vAlign w:val="center"/>
          </w:tcPr>
          <w:p>
            <w:pPr>
              <w:spacing w:line="300" w:lineRule="auto"/>
              <w:ind w:firstLine="0" w:firstLineChars="0"/>
              <w:jc w:val="center"/>
              <w:rPr>
                <w:rFonts w:hint="eastAsia" w:cs="宋体"/>
                <w:b/>
                <w:bCs/>
                <w:sz w:val="21"/>
                <w:szCs w:val="21"/>
              </w:rPr>
            </w:pPr>
            <w:r>
              <w:rPr>
                <w:rFonts w:hint="eastAsia" w:cs="宋体"/>
                <w:b/>
                <w:bCs/>
                <w:sz w:val="21"/>
                <w:szCs w:val="21"/>
              </w:rPr>
              <w:t>评分标准</w:t>
            </w:r>
          </w:p>
        </w:tc>
        <w:tc>
          <w:tcPr>
            <w:tcW w:w="375" w:type="pct"/>
            <w:noWrap w:val="0"/>
            <w:vAlign w:val="center"/>
          </w:tcPr>
          <w:p>
            <w:pPr>
              <w:spacing w:line="300" w:lineRule="auto"/>
              <w:ind w:firstLine="0" w:firstLineChars="0"/>
              <w:jc w:val="center"/>
              <w:rPr>
                <w:rFonts w:hint="eastAsia" w:cs="宋体"/>
                <w:b/>
                <w:bCs/>
                <w:sz w:val="21"/>
                <w:szCs w:val="21"/>
              </w:rPr>
            </w:pPr>
            <w:r>
              <w:rPr>
                <w:rFonts w:hint="eastAsia" w:cs="宋体"/>
                <w:b/>
                <w:bCs/>
                <w:sz w:val="21"/>
                <w:szCs w:val="21"/>
              </w:rPr>
              <w:t>分值</w:t>
            </w:r>
          </w:p>
        </w:tc>
        <w:tc>
          <w:tcPr>
            <w:tcW w:w="375" w:type="pct"/>
            <w:noWrap w:val="0"/>
            <w:vAlign w:val="center"/>
          </w:tcPr>
          <w:p>
            <w:pPr>
              <w:spacing w:line="300" w:lineRule="auto"/>
              <w:ind w:firstLine="0" w:firstLineChars="0"/>
              <w:jc w:val="center"/>
              <w:rPr>
                <w:rFonts w:hint="eastAsia" w:eastAsia="宋体" w:cs="宋体"/>
                <w:b/>
                <w:bCs/>
                <w:sz w:val="21"/>
                <w:szCs w:val="21"/>
                <w:lang w:val="en-US" w:eastAsia="zh-CN"/>
              </w:rPr>
            </w:pPr>
            <w:r>
              <w:rPr>
                <w:rFonts w:hint="eastAsia" w:cs="宋体"/>
                <w:b/>
                <w:bCs/>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249" w:type="pct"/>
            <w:gridSpan w:val="3"/>
            <w:noWrap w:val="0"/>
            <w:vAlign w:val="center"/>
          </w:tcPr>
          <w:p>
            <w:pPr>
              <w:spacing w:line="300" w:lineRule="auto"/>
              <w:ind w:firstLine="0" w:firstLineChars="0"/>
              <w:jc w:val="both"/>
              <w:rPr>
                <w:rFonts w:hint="eastAsia" w:cs="宋体"/>
                <w:b/>
                <w:bCs/>
                <w:sz w:val="21"/>
                <w:szCs w:val="21"/>
              </w:rPr>
            </w:pPr>
            <w:r>
              <w:rPr>
                <w:rFonts w:hint="eastAsia" w:cs="宋体"/>
                <w:b/>
                <w:bCs/>
                <w:sz w:val="21"/>
                <w:szCs w:val="21"/>
                <w:highlight w:val="none"/>
              </w:rPr>
              <w:t>报价部分</w:t>
            </w:r>
            <w:r>
              <w:rPr>
                <w:rFonts w:hint="eastAsia" w:cs="宋体"/>
                <w:b/>
                <w:bCs/>
                <w:sz w:val="21"/>
                <w:szCs w:val="21"/>
                <w:highlight w:val="none"/>
                <w:lang w:val="en-US" w:eastAsia="zh-CN"/>
              </w:rPr>
              <w:t>50</w:t>
            </w:r>
            <w:r>
              <w:rPr>
                <w:rFonts w:hint="eastAsia" w:cs="宋体"/>
                <w:b/>
                <w:bCs/>
                <w:sz w:val="21"/>
                <w:szCs w:val="21"/>
                <w:highlight w:val="none"/>
              </w:rPr>
              <w:t>分</w:t>
            </w:r>
          </w:p>
        </w:tc>
        <w:tc>
          <w:tcPr>
            <w:tcW w:w="375" w:type="pct"/>
            <w:noWrap w:val="0"/>
            <w:vAlign w:val="center"/>
          </w:tcPr>
          <w:p>
            <w:pPr>
              <w:spacing w:line="300" w:lineRule="auto"/>
              <w:ind w:firstLine="420"/>
              <w:jc w:val="center"/>
              <w:rPr>
                <w:rFonts w:hint="eastAsia" w:cs="宋体"/>
                <w:sz w:val="21"/>
                <w:szCs w:val="21"/>
              </w:rPr>
            </w:pPr>
            <w:r>
              <w:rPr>
                <w:rFonts w:hint="eastAsia" w:cs="宋体"/>
                <w:sz w:val="21"/>
                <w:szCs w:val="21"/>
              </w:rPr>
              <w:t>　</w:t>
            </w:r>
          </w:p>
        </w:tc>
        <w:tc>
          <w:tcPr>
            <w:tcW w:w="375" w:type="pct"/>
            <w:noWrap w:val="0"/>
            <w:vAlign w:val="center"/>
          </w:tcPr>
          <w:p>
            <w:pPr>
              <w:spacing w:line="300" w:lineRule="auto"/>
              <w:ind w:firstLine="42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73" w:type="pct"/>
            <w:noWrap w:val="0"/>
            <w:vAlign w:val="center"/>
          </w:tcPr>
          <w:p>
            <w:pPr>
              <w:spacing w:line="300" w:lineRule="auto"/>
              <w:ind w:firstLine="233" w:firstLineChars="111"/>
              <w:rPr>
                <w:rFonts w:hint="eastAsia" w:cs="宋体"/>
                <w:sz w:val="21"/>
                <w:szCs w:val="21"/>
              </w:rPr>
            </w:pPr>
            <w:r>
              <w:rPr>
                <w:rFonts w:hint="eastAsia" w:cs="宋体"/>
                <w:sz w:val="21"/>
                <w:szCs w:val="21"/>
              </w:rPr>
              <w:t>1</w:t>
            </w:r>
          </w:p>
        </w:tc>
        <w:tc>
          <w:tcPr>
            <w:tcW w:w="714" w:type="pct"/>
            <w:noWrap w:val="0"/>
            <w:vAlign w:val="center"/>
          </w:tcPr>
          <w:p>
            <w:pPr>
              <w:spacing w:line="300" w:lineRule="auto"/>
              <w:ind w:firstLine="0" w:firstLineChars="0"/>
              <w:rPr>
                <w:rFonts w:hint="eastAsia" w:cs="宋体"/>
                <w:sz w:val="21"/>
                <w:szCs w:val="21"/>
              </w:rPr>
            </w:pPr>
            <w:r>
              <w:rPr>
                <w:rFonts w:hint="eastAsia" w:cs="宋体"/>
                <w:sz w:val="21"/>
                <w:szCs w:val="21"/>
              </w:rPr>
              <w:t>投标报价</w:t>
            </w:r>
          </w:p>
        </w:tc>
        <w:tc>
          <w:tcPr>
            <w:tcW w:w="3261" w:type="pct"/>
            <w:noWrap w:val="0"/>
            <w:vAlign w:val="center"/>
          </w:tcPr>
          <w:p>
            <w:pPr>
              <w:spacing w:line="300" w:lineRule="auto"/>
              <w:ind w:firstLine="0" w:firstLineChars="0"/>
              <w:rPr>
                <w:rFonts w:hint="eastAsia" w:cs="宋体"/>
                <w:sz w:val="21"/>
                <w:szCs w:val="21"/>
              </w:rPr>
            </w:pPr>
            <w:r>
              <w:rPr>
                <w:rFonts w:hint="eastAsia" w:cs="宋体"/>
                <w:sz w:val="21"/>
                <w:szCs w:val="21"/>
              </w:rPr>
              <w:t>基准价为评审合格的投标人投标报价去掉一个最高价、一个最低价的平均值（少于5家的，直接取平均值）。投标人报价比评标基准价每高出1%扣1分，扣完为止；投标人报价比评标基准价每低1%扣0.5分，扣完为止；由此得出各投标人的投标报价得分（保留小数点后两位数字，第三位四舍五入），投标价得分的计算</w:t>
            </w:r>
            <w:r>
              <w:rPr>
                <w:rFonts w:hint="eastAsia" w:cs="宋体"/>
                <w:sz w:val="21"/>
                <w:szCs w:val="21"/>
                <w:highlight w:val="none"/>
              </w:rPr>
              <w:t>方法：</w:t>
            </w:r>
            <w:r>
              <w:rPr>
                <w:rFonts w:hint="eastAsia" w:cs="宋体"/>
                <w:sz w:val="21"/>
                <w:szCs w:val="21"/>
                <w:highlight w:val="none"/>
                <w:lang w:eastAsia="zh-CN"/>
              </w:rPr>
              <w:t>5</w:t>
            </w:r>
            <w:r>
              <w:rPr>
                <w:rFonts w:hint="eastAsia" w:cs="宋体"/>
                <w:sz w:val="21"/>
                <w:szCs w:val="21"/>
                <w:highlight w:val="none"/>
                <w:lang w:val="en-US" w:eastAsia="zh-CN"/>
              </w:rPr>
              <w:t>0</w:t>
            </w:r>
            <w:r>
              <w:rPr>
                <w:rFonts w:hint="eastAsia" w:cs="宋体"/>
                <w:sz w:val="21"/>
                <w:szCs w:val="21"/>
                <w:highlight w:val="none"/>
              </w:rPr>
              <w:t>-丨（评标</w:t>
            </w:r>
            <w:r>
              <w:rPr>
                <w:rFonts w:hint="eastAsia" w:cs="宋体"/>
                <w:sz w:val="21"/>
                <w:szCs w:val="21"/>
              </w:rPr>
              <w:t>基准价-投标人报价）/评标基准价丨×100×E，E取值1或0.5。</w:t>
            </w:r>
          </w:p>
        </w:tc>
        <w:tc>
          <w:tcPr>
            <w:tcW w:w="375" w:type="pct"/>
            <w:noWrap w:val="0"/>
            <w:vAlign w:val="center"/>
          </w:tcPr>
          <w:p>
            <w:pPr>
              <w:spacing w:line="300" w:lineRule="auto"/>
              <w:ind w:firstLine="0" w:firstLineChars="0"/>
              <w:jc w:val="center"/>
              <w:rPr>
                <w:rFonts w:hint="default" w:eastAsia="宋体" w:cs="宋体"/>
                <w:sz w:val="21"/>
                <w:szCs w:val="21"/>
                <w:highlight w:val="none"/>
                <w:lang w:val="en-US" w:eastAsia="zh-CN"/>
              </w:rPr>
            </w:pPr>
            <w:r>
              <w:rPr>
                <w:rFonts w:hint="eastAsia" w:eastAsia="宋体" w:cs="宋体"/>
                <w:sz w:val="21"/>
                <w:szCs w:val="21"/>
                <w:highlight w:val="none"/>
                <w:lang w:val="en-US" w:eastAsia="zh-CN"/>
              </w:rPr>
              <w:t>50</w:t>
            </w:r>
          </w:p>
        </w:tc>
        <w:tc>
          <w:tcPr>
            <w:tcW w:w="375" w:type="pct"/>
            <w:noWrap w:val="0"/>
            <w:vAlign w:val="center"/>
          </w:tcPr>
          <w:p>
            <w:pPr>
              <w:spacing w:line="300" w:lineRule="auto"/>
              <w:ind w:firstLine="0" w:firstLineChars="0"/>
              <w:jc w:val="center"/>
              <w:rPr>
                <w:rFonts w:hint="eastAsia"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49" w:type="pct"/>
            <w:gridSpan w:val="3"/>
            <w:noWrap w:val="0"/>
            <w:vAlign w:val="center"/>
          </w:tcPr>
          <w:p>
            <w:pPr>
              <w:spacing w:line="300" w:lineRule="auto"/>
              <w:ind w:firstLine="0" w:firstLineChars="0"/>
              <w:rPr>
                <w:rFonts w:hint="eastAsia" w:cs="宋体"/>
                <w:b/>
                <w:bCs/>
                <w:sz w:val="21"/>
                <w:szCs w:val="21"/>
              </w:rPr>
            </w:pPr>
            <w:r>
              <w:rPr>
                <w:rFonts w:hint="eastAsia" w:cs="宋体"/>
                <w:b/>
                <w:bCs/>
                <w:sz w:val="21"/>
                <w:szCs w:val="21"/>
                <w:highlight w:val="none"/>
              </w:rPr>
              <w:t>商务部分</w:t>
            </w:r>
            <w:r>
              <w:rPr>
                <w:rFonts w:hint="eastAsia" w:cs="宋体"/>
                <w:b/>
                <w:bCs/>
                <w:sz w:val="21"/>
                <w:szCs w:val="21"/>
                <w:highlight w:val="none"/>
                <w:lang w:val="en-US" w:eastAsia="zh-CN"/>
              </w:rPr>
              <w:t>30</w:t>
            </w:r>
            <w:r>
              <w:rPr>
                <w:rFonts w:hint="eastAsia" w:cs="宋体"/>
                <w:b/>
                <w:bCs/>
                <w:sz w:val="21"/>
                <w:szCs w:val="21"/>
                <w:highlight w:val="none"/>
              </w:rPr>
              <w:t>分</w:t>
            </w:r>
          </w:p>
        </w:tc>
        <w:tc>
          <w:tcPr>
            <w:tcW w:w="375" w:type="pct"/>
            <w:noWrap w:val="0"/>
            <w:vAlign w:val="center"/>
          </w:tcPr>
          <w:p>
            <w:pPr>
              <w:spacing w:line="300" w:lineRule="auto"/>
              <w:ind w:firstLine="422"/>
              <w:jc w:val="center"/>
              <w:rPr>
                <w:rFonts w:hint="eastAsia" w:cs="宋体"/>
                <w:b/>
                <w:bCs/>
                <w:sz w:val="21"/>
                <w:szCs w:val="21"/>
              </w:rPr>
            </w:pPr>
          </w:p>
        </w:tc>
        <w:tc>
          <w:tcPr>
            <w:tcW w:w="375" w:type="pct"/>
            <w:noWrap w:val="0"/>
            <w:vAlign w:val="center"/>
          </w:tcPr>
          <w:p>
            <w:pPr>
              <w:spacing w:line="300" w:lineRule="auto"/>
              <w:ind w:firstLine="422"/>
              <w:jc w:val="center"/>
              <w:rPr>
                <w:rFonts w:hint="eastAsia"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3" w:type="pct"/>
            <w:noWrap w:val="0"/>
            <w:vAlign w:val="center"/>
          </w:tcPr>
          <w:p>
            <w:pPr>
              <w:spacing w:line="300" w:lineRule="auto"/>
              <w:ind w:firstLine="233" w:firstLineChars="111"/>
              <w:rPr>
                <w:rFonts w:hint="eastAsia" w:cs="宋体"/>
                <w:sz w:val="21"/>
                <w:szCs w:val="21"/>
              </w:rPr>
            </w:pPr>
            <w:r>
              <w:rPr>
                <w:rFonts w:hint="eastAsia" w:cs="宋体"/>
                <w:sz w:val="21"/>
                <w:szCs w:val="21"/>
              </w:rPr>
              <w:t>1</w:t>
            </w:r>
          </w:p>
        </w:tc>
        <w:tc>
          <w:tcPr>
            <w:tcW w:w="714" w:type="pct"/>
            <w:noWrap w:val="0"/>
            <w:vAlign w:val="center"/>
          </w:tcPr>
          <w:p>
            <w:pPr>
              <w:spacing w:line="300" w:lineRule="auto"/>
              <w:ind w:firstLine="0" w:firstLineChars="0"/>
              <w:jc w:val="both"/>
              <w:rPr>
                <w:rFonts w:hint="eastAsia" w:eastAsia="宋体" w:cs="宋体"/>
                <w:sz w:val="21"/>
                <w:szCs w:val="21"/>
              </w:rPr>
            </w:pPr>
            <w:r>
              <w:rPr>
                <w:rFonts w:hint="eastAsia" w:eastAsia="宋体" w:cs="宋体"/>
                <w:sz w:val="21"/>
                <w:szCs w:val="21"/>
              </w:rPr>
              <w:t>投标人业绩</w:t>
            </w:r>
          </w:p>
        </w:tc>
        <w:tc>
          <w:tcPr>
            <w:tcW w:w="3261" w:type="pct"/>
            <w:noWrap w:val="0"/>
            <w:vAlign w:val="top"/>
          </w:tcPr>
          <w:p>
            <w:pPr>
              <w:spacing w:line="300" w:lineRule="auto"/>
              <w:ind w:firstLine="0" w:firstLineChars="0"/>
              <w:jc w:val="both"/>
              <w:rPr>
                <w:rFonts w:hint="eastAsia" w:eastAsia="宋体" w:cs="宋体"/>
                <w:sz w:val="21"/>
                <w:szCs w:val="21"/>
              </w:rPr>
            </w:pPr>
            <w:r>
              <w:rPr>
                <w:rFonts w:hint="eastAsia" w:eastAsia="宋体" w:cs="宋体"/>
                <w:sz w:val="21"/>
                <w:szCs w:val="21"/>
              </w:rPr>
              <w:t>近3年（2020年9月至投标截止日)提供1个类似合同业绩</w:t>
            </w:r>
            <w:r>
              <w:rPr>
                <w:rFonts w:hint="eastAsia" w:eastAsia="宋体" w:cs="宋体"/>
                <w:sz w:val="21"/>
                <w:szCs w:val="21"/>
                <w:lang w:val="en-US" w:eastAsia="zh-CN"/>
              </w:rPr>
              <w:t>金额50万以上</w:t>
            </w:r>
            <w:r>
              <w:rPr>
                <w:rFonts w:hint="eastAsia" w:eastAsia="宋体" w:cs="宋体"/>
                <w:sz w:val="21"/>
                <w:szCs w:val="21"/>
              </w:rPr>
              <w:t>的得4分，每增加一个加4分，最高12分。</w:t>
            </w:r>
          </w:p>
        </w:tc>
        <w:tc>
          <w:tcPr>
            <w:tcW w:w="375" w:type="pct"/>
            <w:noWrap w:val="0"/>
            <w:vAlign w:val="center"/>
          </w:tcPr>
          <w:p>
            <w:pPr>
              <w:spacing w:line="300" w:lineRule="auto"/>
              <w:ind w:firstLine="0" w:firstLineChars="0"/>
              <w:jc w:val="center"/>
              <w:rPr>
                <w:rFonts w:hint="default" w:eastAsia="宋体" w:cs="宋体"/>
                <w:sz w:val="21"/>
                <w:szCs w:val="21"/>
                <w:lang w:val="en-US" w:eastAsia="zh-CN"/>
              </w:rPr>
            </w:pPr>
            <w:r>
              <w:rPr>
                <w:rFonts w:hint="eastAsia" w:cs="宋体"/>
                <w:sz w:val="21"/>
                <w:szCs w:val="21"/>
                <w:lang w:val="en-US" w:eastAsia="zh-CN"/>
              </w:rPr>
              <w:t>12</w:t>
            </w:r>
          </w:p>
        </w:tc>
        <w:tc>
          <w:tcPr>
            <w:tcW w:w="375" w:type="pct"/>
            <w:noWrap w:val="0"/>
            <w:vAlign w:val="center"/>
          </w:tcPr>
          <w:p>
            <w:pPr>
              <w:spacing w:line="300" w:lineRule="auto"/>
              <w:ind w:firstLine="0" w:firstLineChars="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3" w:type="pct"/>
            <w:noWrap w:val="0"/>
            <w:vAlign w:val="center"/>
          </w:tcPr>
          <w:p>
            <w:pPr>
              <w:spacing w:line="300" w:lineRule="auto"/>
              <w:ind w:firstLine="233" w:firstLineChars="111"/>
              <w:rPr>
                <w:rFonts w:cs="宋体"/>
                <w:sz w:val="21"/>
                <w:szCs w:val="21"/>
              </w:rPr>
            </w:pPr>
            <w:r>
              <w:rPr>
                <w:rFonts w:hint="eastAsia" w:cs="宋体"/>
                <w:sz w:val="21"/>
                <w:szCs w:val="21"/>
              </w:rPr>
              <w:t>2</w:t>
            </w:r>
          </w:p>
        </w:tc>
        <w:tc>
          <w:tcPr>
            <w:tcW w:w="714" w:type="pct"/>
            <w:noWrap w:val="0"/>
            <w:vAlign w:val="center"/>
          </w:tcPr>
          <w:p>
            <w:pPr>
              <w:spacing w:line="300" w:lineRule="auto"/>
              <w:ind w:firstLine="0" w:firstLineChars="0"/>
              <w:jc w:val="both"/>
              <w:rPr>
                <w:rFonts w:hint="eastAsia" w:eastAsia="宋体" w:cs="宋体"/>
                <w:sz w:val="21"/>
                <w:szCs w:val="21"/>
              </w:rPr>
            </w:pPr>
            <w:r>
              <w:rPr>
                <w:rFonts w:hint="eastAsia" w:eastAsia="宋体" w:cs="宋体"/>
                <w:sz w:val="21"/>
                <w:szCs w:val="21"/>
              </w:rPr>
              <w:t>质保期</w:t>
            </w:r>
          </w:p>
        </w:tc>
        <w:tc>
          <w:tcPr>
            <w:tcW w:w="3261" w:type="pct"/>
            <w:noWrap w:val="0"/>
            <w:vAlign w:val="center"/>
          </w:tcPr>
          <w:p>
            <w:pPr>
              <w:spacing w:line="300" w:lineRule="auto"/>
              <w:ind w:firstLine="0" w:firstLineChars="0"/>
              <w:jc w:val="both"/>
              <w:rPr>
                <w:rFonts w:hint="default" w:eastAsia="宋体" w:cs="宋体"/>
                <w:sz w:val="21"/>
                <w:szCs w:val="21"/>
                <w:lang w:val="en-US" w:eastAsia="zh-CN"/>
              </w:rPr>
            </w:pPr>
            <w:r>
              <w:rPr>
                <w:rFonts w:hint="eastAsia" w:eastAsia="宋体" w:cs="宋体"/>
                <w:sz w:val="21"/>
                <w:szCs w:val="21"/>
              </w:rPr>
              <w:t>质保期基础为</w:t>
            </w:r>
            <w:r>
              <w:rPr>
                <w:rFonts w:hint="eastAsia" w:eastAsia="宋体" w:cs="宋体"/>
                <w:sz w:val="21"/>
                <w:szCs w:val="21"/>
                <w:lang w:val="en-US" w:eastAsia="zh-CN"/>
              </w:rPr>
              <w:t>1</w:t>
            </w:r>
            <w:r>
              <w:rPr>
                <w:rFonts w:hint="eastAsia" w:eastAsia="宋体" w:cs="宋体"/>
                <w:sz w:val="21"/>
                <w:szCs w:val="21"/>
              </w:rPr>
              <w:t>年</w:t>
            </w:r>
            <w:r>
              <w:rPr>
                <w:rFonts w:hint="eastAsia"/>
                <w:lang w:val="en-US" w:eastAsia="zh-CN"/>
              </w:rPr>
              <w:t>得3分</w:t>
            </w:r>
            <w:r>
              <w:rPr>
                <w:rFonts w:hint="eastAsia" w:eastAsia="宋体" w:cs="宋体"/>
                <w:sz w:val="21"/>
                <w:szCs w:val="21"/>
              </w:rPr>
              <w:t>，承诺每延长1年加</w:t>
            </w:r>
            <w:r>
              <w:rPr>
                <w:rFonts w:hint="eastAsia" w:eastAsia="宋体" w:cs="宋体"/>
                <w:sz w:val="21"/>
                <w:szCs w:val="21"/>
                <w:lang w:val="en-US" w:eastAsia="zh-CN"/>
              </w:rPr>
              <w:t>3</w:t>
            </w:r>
            <w:r>
              <w:rPr>
                <w:rFonts w:hint="eastAsia" w:eastAsia="宋体" w:cs="宋体"/>
                <w:sz w:val="21"/>
                <w:szCs w:val="21"/>
              </w:rPr>
              <w:t>分，最高得</w:t>
            </w:r>
            <w:r>
              <w:rPr>
                <w:rFonts w:hint="eastAsia" w:eastAsia="宋体" w:cs="宋体"/>
                <w:sz w:val="21"/>
                <w:szCs w:val="21"/>
                <w:lang w:val="en-US" w:eastAsia="zh-CN"/>
              </w:rPr>
              <w:t>9</w:t>
            </w:r>
            <w:r>
              <w:rPr>
                <w:rFonts w:hint="eastAsia" w:eastAsia="宋体" w:cs="宋体"/>
                <w:sz w:val="21"/>
                <w:szCs w:val="21"/>
              </w:rPr>
              <w:t>分。</w:t>
            </w:r>
            <w:r>
              <w:rPr>
                <w:rFonts w:hint="eastAsia" w:eastAsia="宋体" w:cs="宋体"/>
                <w:sz w:val="21"/>
                <w:szCs w:val="21"/>
                <w:lang w:eastAsia="zh-CN"/>
              </w:rPr>
              <w:t>（</w:t>
            </w:r>
            <w:r>
              <w:rPr>
                <w:rFonts w:hint="eastAsia" w:eastAsia="宋体" w:cs="宋体"/>
                <w:sz w:val="21"/>
                <w:szCs w:val="21"/>
                <w:lang w:val="en-US" w:eastAsia="zh-CN"/>
              </w:rPr>
              <w:t>需提供承诺函）</w:t>
            </w:r>
          </w:p>
        </w:tc>
        <w:tc>
          <w:tcPr>
            <w:tcW w:w="375" w:type="pct"/>
            <w:noWrap w:val="0"/>
            <w:vAlign w:val="center"/>
          </w:tcPr>
          <w:p>
            <w:pPr>
              <w:spacing w:line="300" w:lineRule="auto"/>
              <w:ind w:firstLine="0" w:firstLineChars="0"/>
              <w:jc w:val="center"/>
              <w:rPr>
                <w:rFonts w:hint="eastAsia" w:eastAsia="宋体" w:cs="宋体"/>
                <w:sz w:val="21"/>
                <w:szCs w:val="21"/>
                <w:lang w:eastAsia="zh-CN"/>
              </w:rPr>
            </w:pPr>
            <w:r>
              <w:rPr>
                <w:rFonts w:hint="eastAsia" w:cs="宋体"/>
                <w:sz w:val="21"/>
                <w:szCs w:val="21"/>
                <w:lang w:val="en-US" w:eastAsia="zh-CN"/>
              </w:rPr>
              <w:t>9</w:t>
            </w:r>
          </w:p>
        </w:tc>
        <w:tc>
          <w:tcPr>
            <w:tcW w:w="375" w:type="pct"/>
            <w:noWrap w:val="0"/>
            <w:vAlign w:val="center"/>
          </w:tcPr>
          <w:p>
            <w:pPr>
              <w:spacing w:line="300" w:lineRule="auto"/>
              <w:ind w:firstLine="0" w:firstLineChars="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73" w:type="pct"/>
            <w:noWrap w:val="0"/>
            <w:vAlign w:val="center"/>
          </w:tcPr>
          <w:p>
            <w:pPr>
              <w:spacing w:line="300" w:lineRule="auto"/>
              <w:ind w:firstLine="233" w:firstLineChars="111"/>
              <w:rPr>
                <w:rFonts w:hint="eastAsia" w:cs="宋体"/>
                <w:sz w:val="21"/>
                <w:szCs w:val="21"/>
              </w:rPr>
            </w:pPr>
            <w:r>
              <w:rPr>
                <w:rFonts w:hint="eastAsia" w:cs="宋体"/>
                <w:sz w:val="21"/>
                <w:szCs w:val="21"/>
              </w:rPr>
              <w:t>3</w:t>
            </w:r>
          </w:p>
        </w:tc>
        <w:tc>
          <w:tcPr>
            <w:tcW w:w="714" w:type="pct"/>
            <w:noWrap w:val="0"/>
            <w:vAlign w:val="center"/>
          </w:tcPr>
          <w:p>
            <w:pPr>
              <w:spacing w:line="300" w:lineRule="auto"/>
              <w:ind w:firstLine="0" w:firstLineChars="0"/>
              <w:jc w:val="both"/>
              <w:rPr>
                <w:rFonts w:hint="default" w:eastAsia="宋体" w:cs="宋体"/>
                <w:sz w:val="21"/>
                <w:szCs w:val="21"/>
                <w:lang w:val="en-US" w:eastAsia="zh-CN"/>
              </w:rPr>
            </w:pPr>
            <w:r>
              <w:rPr>
                <w:rFonts w:hint="eastAsia" w:eastAsia="宋体" w:cs="宋体"/>
                <w:sz w:val="21"/>
                <w:szCs w:val="21"/>
                <w:lang w:val="en-US" w:eastAsia="zh-CN"/>
              </w:rPr>
              <w:t>产品质量</w:t>
            </w:r>
          </w:p>
        </w:tc>
        <w:tc>
          <w:tcPr>
            <w:tcW w:w="3261" w:type="pct"/>
            <w:noWrap w:val="0"/>
            <w:vAlign w:val="top"/>
          </w:tcPr>
          <w:p>
            <w:pPr>
              <w:spacing w:line="300" w:lineRule="auto"/>
              <w:ind w:firstLine="0" w:firstLineChars="0"/>
              <w:jc w:val="both"/>
              <w:rPr>
                <w:rFonts w:hint="eastAsia" w:eastAsia="宋体" w:cs="宋体"/>
                <w:sz w:val="21"/>
                <w:szCs w:val="21"/>
              </w:rPr>
            </w:pPr>
            <w:r>
              <w:rPr>
                <w:rFonts w:hint="eastAsia" w:eastAsia="宋体" w:cs="宋体"/>
                <w:sz w:val="21"/>
                <w:szCs w:val="21"/>
                <w:lang w:val="en-US"/>
              </w:rPr>
              <w:t>根据投标文件中所附投标产品的图片、认证证书、检验报告、合格证书等相关技术资料的完整性，</w:t>
            </w:r>
            <w:r>
              <w:rPr>
                <w:rFonts w:hint="eastAsia" w:eastAsia="宋体" w:cs="宋体"/>
                <w:sz w:val="21"/>
                <w:szCs w:val="21"/>
                <w:lang w:val="en-US" w:eastAsia="zh-CN"/>
              </w:rPr>
              <w:t>优得7-9分，良得4-6分，一般得1-3分</w:t>
            </w:r>
            <w:r>
              <w:rPr>
                <w:rFonts w:hint="eastAsia" w:eastAsia="宋体" w:cs="宋体"/>
                <w:sz w:val="21"/>
                <w:szCs w:val="21"/>
                <w:lang w:val="en-US"/>
              </w:rPr>
              <w:t>。投标文件中没有任何图片、检验报告、认证证书、合格证书等技术资料的，本项不得分。</w:t>
            </w:r>
          </w:p>
        </w:tc>
        <w:tc>
          <w:tcPr>
            <w:tcW w:w="375" w:type="pct"/>
            <w:noWrap w:val="0"/>
            <w:vAlign w:val="center"/>
          </w:tcPr>
          <w:p>
            <w:pPr>
              <w:spacing w:line="300" w:lineRule="auto"/>
              <w:ind w:firstLine="0" w:firstLineChars="0"/>
              <w:jc w:val="center"/>
              <w:rPr>
                <w:rFonts w:hint="eastAsia" w:eastAsia="宋体" w:cs="宋体"/>
                <w:sz w:val="21"/>
                <w:szCs w:val="21"/>
                <w:lang w:eastAsia="zh-CN"/>
              </w:rPr>
            </w:pPr>
            <w:r>
              <w:rPr>
                <w:rFonts w:hint="eastAsia" w:cs="宋体"/>
                <w:sz w:val="21"/>
                <w:szCs w:val="21"/>
                <w:lang w:val="en-US" w:eastAsia="zh-CN"/>
              </w:rPr>
              <w:t>9</w:t>
            </w:r>
          </w:p>
        </w:tc>
        <w:tc>
          <w:tcPr>
            <w:tcW w:w="375" w:type="pct"/>
            <w:noWrap w:val="0"/>
            <w:vAlign w:val="center"/>
          </w:tcPr>
          <w:p>
            <w:pPr>
              <w:spacing w:line="300" w:lineRule="auto"/>
              <w:ind w:firstLine="0" w:firstLineChars="0"/>
              <w:jc w:val="center"/>
              <w:rPr>
                <w:rFonts w:hint="eastAsia" w:cs="宋体"/>
                <w:sz w:val="21"/>
                <w:szCs w:val="21"/>
                <w:lang w:val="en-US" w:eastAsia="zh-CN"/>
              </w:rPr>
            </w:pPr>
          </w:p>
        </w:tc>
      </w:tr>
    </w:tbl>
    <w:p>
      <w:pPr>
        <w:pStyle w:val="7"/>
        <w:ind w:firstLine="0" w:firstLineChars="0"/>
        <w:jc w:val="left"/>
        <w:rPr>
          <w:rFonts w:hint="eastAsia" w:eastAsia="宋体"/>
          <w:sz w:val="28"/>
          <w:szCs w:val="28"/>
          <w:lang w:val="en-US" w:eastAsia="zh-CN"/>
        </w:rPr>
      </w:pPr>
    </w:p>
    <w:p>
      <w:pPr>
        <w:pStyle w:val="2"/>
        <w:rPr>
          <w:rFonts w:hint="eastAsia"/>
          <w:lang w:val="zh-CN"/>
        </w:rPr>
        <w:sectPr>
          <w:pgSz w:w="16838" w:h="11906" w:orient="landscape"/>
          <w:pgMar w:top="1800" w:right="1440" w:bottom="1800" w:left="1440" w:header="851" w:footer="992" w:gutter="0"/>
          <w:cols w:space="720" w:num="1"/>
          <w:docGrid w:type="lines" w:linePitch="312" w:charSpace="0"/>
        </w:sectPr>
      </w:pPr>
    </w:p>
    <w:tbl>
      <w:tblPr>
        <w:tblStyle w:val="8"/>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217"/>
        <w:gridCol w:w="10121"/>
        <w:gridCol w:w="116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34" w:type="pct"/>
            <w:gridSpan w:val="3"/>
            <w:noWrap w:val="0"/>
            <w:vAlign w:val="center"/>
          </w:tcPr>
          <w:p>
            <w:pPr>
              <w:spacing w:line="300" w:lineRule="auto"/>
              <w:ind w:firstLine="0" w:firstLineChars="0"/>
              <w:rPr>
                <w:rFonts w:hint="eastAsia" w:cs="宋体"/>
                <w:b/>
                <w:bCs/>
                <w:sz w:val="21"/>
                <w:szCs w:val="21"/>
              </w:rPr>
            </w:pPr>
            <w:r>
              <w:rPr>
                <w:rFonts w:hint="eastAsia" w:cs="宋体"/>
                <w:b/>
                <w:bCs/>
                <w:sz w:val="21"/>
                <w:szCs w:val="21"/>
                <w:highlight w:val="none"/>
              </w:rPr>
              <w:t>技术部分</w:t>
            </w:r>
            <w:r>
              <w:rPr>
                <w:rFonts w:hint="eastAsia" w:cs="宋体"/>
                <w:b/>
                <w:bCs/>
                <w:sz w:val="21"/>
                <w:szCs w:val="21"/>
                <w:highlight w:val="none"/>
                <w:lang w:val="en-US" w:eastAsia="zh-CN"/>
              </w:rPr>
              <w:t>20</w:t>
            </w:r>
            <w:r>
              <w:rPr>
                <w:rFonts w:hint="eastAsia" w:cs="宋体"/>
                <w:b/>
                <w:bCs/>
                <w:sz w:val="21"/>
                <w:szCs w:val="21"/>
                <w:highlight w:val="none"/>
              </w:rPr>
              <w:t>分</w:t>
            </w:r>
          </w:p>
        </w:tc>
        <w:tc>
          <w:tcPr>
            <w:tcW w:w="391" w:type="pct"/>
            <w:noWrap w:val="0"/>
            <w:vAlign w:val="center"/>
          </w:tcPr>
          <w:p>
            <w:pPr>
              <w:spacing w:line="300" w:lineRule="auto"/>
              <w:ind w:firstLine="420"/>
              <w:jc w:val="center"/>
              <w:rPr>
                <w:rFonts w:hint="eastAsia" w:cs="宋体"/>
                <w:sz w:val="21"/>
                <w:szCs w:val="21"/>
              </w:rPr>
            </w:pPr>
          </w:p>
        </w:tc>
        <w:tc>
          <w:tcPr>
            <w:tcW w:w="274" w:type="pct"/>
            <w:noWrap w:val="0"/>
            <w:vAlign w:val="center"/>
          </w:tcPr>
          <w:p>
            <w:pPr>
              <w:spacing w:line="300" w:lineRule="auto"/>
              <w:ind w:firstLine="42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88" w:type="pct"/>
            <w:noWrap/>
            <w:vAlign w:val="center"/>
          </w:tcPr>
          <w:p>
            <w:pPr>
              <w:spacing w:line="300" w:lineRule="auto"/>
              <w:ind w:left="0" w:leftChars="0" w:firstLine="0" w:firstLineChars="0"/>
              <w:jc w:val="center"/>
              <w:rPr>
                <w:rFonts w:hint="eastAsia" w:eastAsia="宋体" w:cs="宋体"/>
                <w:sz w:val="21"/>
                <w:szCs w:val="21"/>
                <w:lang w:eastAsia="zh-CN"/>
              </w:rPr>
            </w:pPr>
            <w:r>
              <w:rPr>
                <w:rFonts w:hint="eastAsia" w:cs="宋体"/>
                <w:sz w:val="21"/>
                <w:szCs w:val="21"/>
                <w:lang w:val="en-US" w:eastAsia="zh-CN"/>
              </w:rPr>
              <w:t>1</w:t>
            </w:r>
          </w:p>
        </w:tc>
        <w:tc>
          <w:tcPr>
            <w:tcW w:w="744" w:type="pct"/>
            <w:noWrap/>
            <w:vAlign w:val="center"/>
          </w:tcPr>
          <w:p>
            <w:pPr>
              <w:pStyle w:val="3"/>
              <w:ind w:left="0" w:leftChars="0" w:firstLine="0" w:firstLine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技术及安装实施方案</w:t>
            </w:r>
          </w:p>
        </w:tc>
        <w:tc>
          <w:tcPr>
            <w:tcW w:w="3400" w:type="pct"/>
            <w:noWrap w:val="0"/>
            <w:vAlign w:val="center"/>
          </w:tcPr>
          <w:p>
            <w:pPr>
              <w:spacing w:line="30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投标人根据</w:t>
            </w:r>
            <w:r>
              <w:rPr>
                <w:rFonts w:hint="eastAsia" w:ascii="宋体" w:hAnsi="宋体" w:eastAsia="宋体" w:cs="宋体"/>
                <w:sz w:val="21"/>
                <w:szCs w:val="21"/>
                <w:lang w:val="en-US" w:eastAsia="zh-CN"/>
              </w:rPr>
              <w:t>项目情况以及设备技术</w:t>
            </w:r>
            <w:r>
              <w:rPr>
                <w:rFonts w:hint="eastAsia" w:ascii="宋体" w:hAnsi="宋体" w:eastAsia="宋体" w:cs="宋体"/>
                <w:sz w:val="21"/>
                <w:szCs w:val="21"/>
                <w:lang w:eastAsia="zh-CN"/>
              </w:rPr>
              <w:t>，提出合理</w:t>
            </w:r>
            <w:r>
              <w:rPr>
                <w:rFonts w:hint="eastAsia" w:ascii="宋体" w:hAnsi="宋体" w:eastAsia="宋体" w:cs="宋体"/>
                <w:sz w:val="21"/>
                <w:szCs w:val="21"/>
                <w:lang w:val="en-US" w:eastAsia="zh-CN"/>
              </w:rPr>
              <w:t>安装实施</w:t>
            </w:r>
            <w:r>
              <w:rPr>
                <w:rFonts w:hint="eastAsia" w:ascii="宋体" w:hAnsi="宋体" w:eastAsia="宋体" w:cs="宋体"/>
                <w:sz w:val="21"/>
                <w:szCs w:val="21"/>
                <w:lang w:eastAsia="zh-CN"/>
              </w:rPr>
              <w:t>方案，切实、可行得</w:t>
            </w:r>
            <w:r>
              <w:rPr>
                <w:rFonts w:hint="eastAsia" w:ascii="宋体" w:hAnsi="宋体" w:eastAsia="宋体" w:cs="宋体"/>
                <w:sz w:val="21"/>
                <w:szCs w:val="21"/>
                <w:lang w:val="en-US" w:eastAsia="zh-CN"/>
              </w:rPr>
              <w:t>4-5</w:t>
            </w:r>
            <w:r>
              <w:rPr>
                <w:rFonts w:hint="eastAsia" w:ascii="宋体" w:hAnsi="宋体" w:eastAsia="宋体" w:cs="宋体"/>
                <w:sz w:val="21"/>
                <w:szCs w:val="21"/>
                <w:lang w:eastAsia="zh-CN"/>
              </w:rPr>
              <w:t>分；合理得</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分；一般得</w:t>
            </w:r>
            <w:r>
              <w:rPr>
                <w:rFonts w:hint="eastAsia" w:ascii="宋体" w:hAnsi="宋体" w:eastAsia="宋体" w:cs="宋体"/>
                <w:sz w:val="21"/>
                <w:szCs w:val="21"/>
                <w:lang w:val="en-US" w:eastAsia="zh-CN"/>
              </w:rPr>
              <w:t>0-2</w:t>
            </w:r>
            <w:r>
              <w:rPr>
                <w:rFonts w:hint="eastAsia" w:ascii="宋体" w:hAnsi="宋体" w:eastAsia="宋体" w:cs="宋体"/>
                <w:sz w:val="21"/>
                <w:szCs w:val="21"/>
                <w:lang w:eastAsia="zh-CN"/>
              </w:rPr>
              <w:t>分。</w:t>
            </w:r>
          </w:p>
          <w:p>
            <w:pPr>
              <w:spacing w:line="30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2、针对项目的重难点提出措施，</w:t>
            </w:r>
            <w:r>
              <w:rPr>
                <w:rFonts w:hint="eastAsia" w:ascii="宋体" w:hAnsi="宋体" w:eastAsia="宋体" w:cs="宋体"/>
                <w:sz w:val="21"/>
                <w:szCs w:val="21"/>
                <w:lang w:eastAsia="zh-CN"/>
              </w:rPr>
              <w:t>切实、可行得</w:t>
            </w:r>
            <w:r>
              <w:rPr>
                <w:rFonts w:hint="eastAsia" w:ascii="宋体" w:hAnsi="宋体" w:eastAsia="宋体" w:cs="宋体"/>
                <w:sz w:val="21"/>
                <w:szCs w:val="21"/>
                <w:lang w:val="en-US" w:eastAsia="zh-CN"/>
              </w:rPr>
              <w:t>4-5</w:t>
            </w:r>
            <w:r>
              <w:rPr>
                <w:rFonts w:hint="eastAsia" w:ascii="宋体" w:hAnsi="宋体" w:eastAsia="宋体" w:cs="宋体"/>
                <w:sz w:val="21"/>
                <w:szCs w:val="21"/>
                <w:lang w:eastAsia="zh-CN"/>
              </w:rPr>
              <w:t>分；合理得</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分；一般得</w:t>
            </w:r>
            <w:r>
              <w:rPr>
                <w:rFonts w:hint="eastAsia" w:ascii="宋体" w:hAnsi="宋体" w:eastAsia="宋体" w:cs="宋体"/>
                <w:sz w:val="21"/>
                <w:szCs w:val="21"/>
                <w:lang w:val="en-US" w:eastAsia="zh-CN"/>
              </w:rPr>
              <w:t>0-2</w:t>
            </w:r>
            <w:r>
              <w:rPr>
                <w:rFonts w:hint="eastAsia" w:ascii="宋体" w:hAnsi="宋体" w:eastAsia="宋体" w:cs="宋体"/>
                <w:sz w:val="21"/>
                <w:szCs w:val="21"/>
                <w:lang w:eastAsia="zh-CN"/>
              </w:rPr>
              <w:t>分。</w:t>
            </w:r>
          </w:p>
          <w:p>
            <w:pPr>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检验方案及安装，切实、可行得</w:t>
            </w:r>
            <w:r>
              <w:rPr>
                <w:rFonts w:hint="eastAsia" w:ascii="宋体" w:hAnsi="宋体" w:eastAsia="宋体" w:cs="宋体"/>
                <w:sz w:val="21"/>
                <w:szCs w:val="21"/>
                <w:lang w:val="en-US" w:eastAsia="zh-CN"/>
              </w:rPr>
              <w:t>4-5</w:t>
            </w:r>
            <w:r>
              <w:rPr>
                <w:rFonts w:hint="eastAsia" w:ascii="宋体" w:hAnsi="宋体" w:eastAsia="宋体" w:cs="宋体"/>
                <w:sz w:val="21"/>
                <w:szCs w:val="21"/>
                <w:lang w:eastAsia="zh-CN"/>
              </w:rPr>
              <w:t>分；合理得</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分；一般得</w:t>
            </w:r>
            <w:r>
              <w:rPr>
                <w:rFonts w:hint="eastAsia" w:ascii="宋体" w:hAnsi="宋体" w:eastAsia="宋体" w:cs="宋体"/>
                <w:sz w:val="21"/>
                <w:szCs w:val="21"/>
                <w:lang w:val="en-US" w:eastAsia="zh-CN"/>
              </w:rPr>
              <w:t>0-2</w:t>
            </w:r>
            <w:r>
              <w:rPr>
                <w:rFonts w:hint="eastAsia" w:ascii="宋体" w:hAnsi="宋体" w:eastAsia="宋体" w:cs="宋体"/>
                <w:sz w:val="21"/>
                <w:szCs w:val="21"/>
                <w:lang w:eastAsia="zh-CN"/>
              </w:rPr>
              <w:t>分。</w:t>
            </w:r>
          </w:p>
        </w:tc>
        <w:tc>
          <w:tcPr>
            <w:tcW w:w="391" w:type="pct"/>
            <w:noWrap w:val="0"/>
            <w:vAlign w:val="center"/>
          </w:tcPr>
          <w:p>
            <w:pPr>
              <w:spacing w:line="300" w:lineRule="auto"/>
              <w:ind w:firstLine="0" w:firstLineChars="0"/>
              <w:jc w:val="center"/>
              <w:rPr>
                <w:rFonts w:hint="default" w:eastAsia="宋体" w:cs="宋体"/>
                <w:sz w:val="21"/>
                <w:szCs w:val="21"/>
                <w:lang w:val="en-US" w:eastAsia="zh-CN"/>
              </w:rPr>
            </w:pPr>
            <w:r>
              <w:rPr>
                <w:rFonts w:hint="eastAsia" w:cs="宋体"/>
                <w:sz w:val="21"/>
                <w:szCs w:val="21"/>
                <w:lang w:val="en-US" w:eastAsia="zh-CN"/>
              </w:rPr>
              <w:t>15</w:t>
            </w:r>
          </w:p>
        </w:tc>
        <w:tc>
          <w:tcPr>
            <w:tcW w:w="274" w:type="pct"/>
            <w:noWrap w:val="0"/>
            <w:vAlign w:val="center"/>
          </w:tcPr>
          <w:p>
            <w:pPr>
              <w:spacing w:line="300" w:lineRule="auto"/>
              <w:ind w:firstLine="0" w:firstLineChars="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88" w:type="pct"/>
            <w:noWrap/>
            <w:vAlign w:val="center"/>
          </w:tcPr>
          <w:p>
            <w:pPr>
              <w:spacing w:line="300" w:lineRule="auto"/>
              <w:ind w:left="0" w:leftChars="0" w:firstLine="0" w:firstLineChars="0"/>
              <w:jc w:val="center"/>
              <w:rPr>
                <w:rFonts w:hint="eastAsia" w:eastAsia="宋体" w:cs="宋体"/>
                <w:sz w:val="21"/>
                <w:szCs w:val="21"/>
                <w:lang w:eastAsia="zh-CN"/>
              </w:rPr>
            </w:pPr>
            <w:r>
              <w:rPr>
                <w:rFonts w:hint="eastAsia" w:cs="宋体"/>
                <w:sz w:val="21"/>
                <w:szCs w:val="21"/>
                <w:lang w:val="en-US" w:eastAsia="zh-CN"/>
              </w:rPr>
              <w:t>2</w:t>
            </w:r>
          </w:p>
        </w:tc>
        <w:tc>
          <w:tcPr>
            <w:tcW w:w="744" w:type="pct"/>
            <w:noWrap/>
            <w:vAlign w:val="center"/>
          </w:tcPr>
          <w:p>
            <w:pPr>
              <w:spacing w:line="300" w:lineRule="auto"/>
              <w:ind w:firstLine="0" w:firstLineChars="0"/>
              <w:rPr>
                <w:rFonts w:hint="eastAsia" w:cs="宋体"/>
                <w:sz w:val="21"/>
                <w:szCs w:val="21"/>
              </w:rPr>
            </w:pPr>
            <w:r>
              <w:rPr>
                <w:rFonts w:hint="eastAsia" w:cs="宋体"/>
                <w:sz w:val="21"/>
                <w:szCs w:val="21"/>
              </w:rPr>
              <w:t>售后服务计划</w:t>
            </w:r>
          </w:p>
        </w:tc>
        <w:tc>
          <w:tcPr>
            <w:tcW w:w="3400" w:type="pct"/>
            <w:noWrap w:val="0"/>
            <w:vAlign w:val="center"/>
          </w:tcPr>
          <w:p>
            <w:pPr>
              <w:spacing w:line="300" w:lineRule="auto"/>
              <w:ind w:firstLine="0" w:firstLineChars="0"/>
              <w:rPr>
                <w:rFonts w:hint="eastAsia" w:cs="宋体"/>
                <w:sz w:val="21"/>
                <w:szCs w:val="21"/>
              </w:rPr>
            </w:pPr>
            <w:r>
              <w:rPr>
                <w:rFonts w:hint="eastAsia" w:cs="宋体"/>
                <w:sz w:val="21"/>
                <w:szCs w:val="21"/>
              </w:rPr>
              <w:t>为确保后期的维护，投标人承诺在黄石或黄石周边（2 时内能赶到现场）有设立售后服务部门，有固定的常驻人员，能为</w:t>
            </w:r>
            <w:r>
              <w:rPr>
                <w:rFonts w:hint="eastAsia" w:cs="宋体"/>
                <w:sz w:val="21"/>
                <w:szCs w:val="21"/>
                <w:highlight w:val="none"/>
              </w:rPr>
              <w:t>用户免费提供长期不间断服务。能提供相关证明（比如租赁合同或营业执照）的得</w:t>
            </w:r>
            <w:r>
              <w:rPr>
                <w:rFonts w:hint="eastAsia" w:cs="宋体"/>
                <w:sz w:val="21"/>
                <w:szCs w:val="21"/>
                <w:highlight w:val="none"/>
                <w:lang w:val="en-US"/>
              </w:rPr>
              <w:t>2</w:t>
            </w:r>
            <w:r>
              <w:rPr>
                <w:rFonts w:hint="eastAsia" w:cs="宋体"/>
                <w:sz w:val="21"/>
                <w:szCs w:val="21"/>
                <w:highlight w:val="none"/>
              </w:rPr>
              <w:t>分，无证明的</w:t>
            </w:r>
            <w:r>
              <w:rPr>
                <w:rFonts w:hint="eastAsia" w:cs="宋体"/>
                <w:sz w:val="21"/>
                <w:szCs w:val="21"/>
                <w:highlight w:val="none"/>
                <w:lang w:val="en-US"/>
              </w:rPr>
              <w:t>得0分；</w:t>
            </w:r>
            <w:r>
              <w:rPr>
                <w:rFonts w:hint="eastAsia" w:cs="宋体"/>
                <w:sz w:val="21"/>
                <w:szCs w:val="21"/>
                <w:highlight w:val="none"/>
                <w:lang w:val="en-US" w:eastAsia="zh-CN"/>
              </w:rPr>
              <w:t>附</w:t>
            </w:r>
            <w:r>
              <w:rPr>
                <w:rFonts w:hint="eastAsia" w:cs="宋体"/>
                <w:sz w:val="21"/>
                <w:szCs w:val="21"/>
                <w:highlight w:val="none"/>
                <w:lang w:val="en-US"/>
              </w:rPr>
              <w:t>有</w:t>
            </w:r>
            <w:r>
              <w:rPr>
                <w:rFonts w:hint="eastAsia" w:cs="宋体"/>
                <w:sz w:val="21"/>
                <w:szCs w:val="21"/>
                <w:highlight w:val="none"/>
                <w:lang w:val="en-US" w:eastAsia="zh-CN"/>
              </w:rPr>
              <w:t>误期</w:t>
            </w:r>
            <w:r>
              <w:rPr>
                <w:rFonts w:hint="eastAsia" w:cs="宋体"/>
                <w:sz w:val="21"/>
                <w:szCs w:val="21"/>
                <w:highlight w:val="none"/>
                <w:lang w:val="en-US"/>
              </w:rPr>
              <w:t>处罚措施，</w:t>
            </w:r>
            <w:r>
              <w:rPr>
                <w:rFonts w:hint="eastAsia" w:cs="宋体"/>
                <w:sz w:val="21"/>
                <w:szCs w:val="21"/>
                <w:highlight w:val="none"/>
                <w:lang w:val="en-US" w:eastAsia="zh-CN"/>
              </w:rPr>
              <w:t>得</w:t>
            </w:r>
            <w:r>
              <w:rPr>
                <w:rFonts w:hint="eastAsia" w:cs="宋体"/>
                <w:sz w:val="21"/>
                <w:szCs w:val="21"/>
                <w:highlight w:val="none"/>
                <w:lang w:val="en-US"/>
              </w:rPr>
              <w:t>0-</w:t>
            </w:r>
            <w:r>
              <w:rPr>
                <w:rFonts w:hint="eastAsia" w:cs="宋体"/>
                <w:sz w:val="21"/>
                <w:szCs w:val="21"/>
                <w:highlight w:val="none"/>
                <w:lang w:val="en-US" w:eastAsia="zh-CN"/>
              </w:rPr>
              <w:t>3</w:t>
            </w:r>
            <w:r>
              <w:rPr>
                <w:rFonts w:hint="eastAsia" w:cs="宋体"/>
                <w:sz w:val="21"/>
                <w:szCs w:val="21"/>
                <w:highlight w:val="none"/>
                <w:lang w:val="en-US"/>
              </w:rPr>
              <w:t>分。</w:t>
            </w:r>
          </w:p>
        </w:tc>
        <w:tc>
          <w:tcPr>
            <w:tcW w:w="391" w:type="pct"/>
            <w:noWrap w:val="0"/>
            <w:vAlign w:val="center"/>
          </w:tcPr>
          <w:p>
            <w:pPr>
              <w:spacing w:line="300" w:lineRule="auto"/>
              <w:ind w:firstLine="0" w:firstLineChars="0"/>
              <w:jc w:val="center"/>
              <w:rPr>
                <w:rFonts w:hint="default" w:eastAsia="宋体" w:cs="宋体"/>
                <w:sz w:val="21"/>
                <w:szCs w:val="21"/>
                <w:lang w:val="en-US" w:eastAsia="zh-CN"/>
              </w:rPr>
            </w:pPr>
            <w:r>
              <w:rPr>
                <w:rFonts w:hint="eastAsia" w:cs="宋体"/>
                <w:sz w:val="21"/>
                <w:szCs w:val="21"/>
                <w:lang w:val="en-US" w:eastAsia="zh-CN"/>
              </w:rPr>
              <w:t>5</w:t>
            </w:r>
          </w:p>
        </w:tc>
        <w:tc>
          <w:tcPr>
            <w:tcW w:w="274" w:type="pct"/>
            <w:noWrap w:val="0"/>
            <w:vAlign w:val="center"/>
          </w:tcPr>
          <w:p>
            <w:pPr>
              <w:spacing w:line="300" w:lineRule="auto"/>
              <w:ind w:firstLine="0" w:firstLineChars="0"/>
              <w:jc w:val="center"/>
              <w:rPr>
                <w:rFonts w:hint="eastAsia" w:cs="宋体"/>
                <w:sz w:val="21"/>
                <w:szCs w:val="21"/>
                <w:lang w:val="en-US" w:eastAsia="zh-CN"/>
              </w:rPr>
            </w:pPr>
          </w:p>
        </w:tc>
      </w:tr>
    </w:tbl>
    <w:p>
      <w:pPr>
        <w:pStyle w:val="2"/>
        <w:rPr>
          <w:rFonts w:hint="eastAsia"/>
          <w:lang w:val="zh-CN"/>
        </w:rPr>
        <w:sectPr>
          <w:pgSz w:w="16838" w:h="11906" w:orient="landscape"/>
          <w:pgMar w:top="1800" w:right="1440" w:bottom="1800" w:left="1440" w:header="851" w:footer="992" w:gutter="0"/>
          <w:cols w:space="720" w:num="1"/>
          <w:docGrid w:type="lines" w:linePitch="312" w:charSpace="0"/>
        </w:sectPr>
      </w:pPr>
    </w:p>
    <w:p>
      <w:pPr>
        <w:jc w:val="both"/>
        <w:rPr>
          <w:rFonts w:hint="default"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附件2</w:t>
      </w:r>
    </w:p>
    <w:tbl>
      <w:tblPr>
        <w:tblStyle w:val="8"/>
        <w:tblpPr w:leftFromText="180" w:rightFromText="180" w:vertAnchor="text" w:horzAnchor="page" w:tblpX="1527" w:tblpY="448"/>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795"/>
        <w:gridCol w:w="3120"/>
        <w:gridCol w:w="645"/>
        <w:gridCol w:w="915"/>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36"/>
                <w:szCs w:val="36"/>
                <w:u w:val="none"/>
                <w:lang w:val="en-US"/>
              </w:rPr>
            </w:pPr>
            <w:r>
              <w:rPr>
                <w:rFonts w:hint="eastAsia" w:cs="宋体"/>
                <w:b/>
                <w:bCs/>
                <w:i w:val="0"/>
                <w:iCs w:val="0"/>
                <w:color w:val="000000"/>
                <w:kern w:val="0"/>
                <w:sz w:val="32"/>
                <w:szCs w:val="32"/>
                <w:u w:val="none"/>
                <w:lang w:val="en-US" w:eastAsia="zh-CN" w:bidi="ar"/>
              </w:rPr>
              <w:t>场站</w:t>
            </w:r>
            <w:r>
              <w:rPr>
                <w:rFonts w:hint="eastAsia" w:eastAsia="宋体" w:cs="宋体"/>
                <w:b/>
                <w:bCs/>
                <w:i w:val="0"/>
                <w:iCs w:val="0"/>
                <w:color w:val="000000"/>
                <w:kern w:val="0"/>
                <w:sz w:val="32"/>
                <w:szCs w:val="32"/>
                <w:u w:val="none"/>
                <w:lang w:val="en-US" w:eastAsia="zh-CN" w:bidi="ar"/>
              </w:rPr>
              <w:t>一进一出报价表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eastAsia="宋体" w:cs="宋体"/>
                <w:b/>
                <w:bCs/>
                <w:i w:val="0"/>
                <w:iCs w:val="0"/>
                <w:color w:val="000000"/>
                <w:kern w:val="0"/>
                <w:sz w:val="28"/>
                <w:szCs w:val="28"/>
                <w:u w:val="none"/>
                <w:lang w:val="en-US" w:eastAsia="zh-CN" w:bidi="ar"/>
              </w:rPr>
              <w:t>进出</w:t>
            </w:r>
            <w:r>
              <w:rPr>
                <w:rFonts w:hint="eastAsia" w:ascii="宋体" w:hAnsi="宋体" w:eastAsia="宋体" w:cs="宋体"/>
                <w:b/>
                <w:bCs/>
                <w:i w:val="0"/>
                <w:iCs w:val="0"/>
                <w:color w:val="000000"/>
                <w:kern w:val="0"/>
                <w:sz w:val="28"/>
                <w:szCs w:val="28"/>
                <w:u w:val="none"/>
                <w:lang w:val="en-US" w:eastAsia="zh-CN" w:bidi="ar"/>
              </w:rPr>
              <w:t>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特征描述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数量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车牌识别器</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显示入口车牌号码，显示剩余车位</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双目识别防伪车牌。                   3、400万超清像机，含内置LED补光灯、像机、识别模块等。            4、显示出口车牌号码，显示收费金额</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5、包含安装调试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ascii="宋体" w:hAnsi="宋体" w:eastAsia="宋体" w:cs="宋体"/>
                <w:i w:val="0"/>
                <w:iCs w:val="0"/>
                <w:color w:val="000000"/>
                <w:sz w:val="21"/>
                <w:szCs w:val="21"/>
                <w:u w:val="none"/>
                <w:lang w:val="en-US" w:eastAsia="zh-CN"/>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left"/>
              <w:textAlignment w:val="center"/>
              <w:rPr>
                <w:rFonts w:hint="eastAsia"/>
                <w:lang w:val="en-US" w:eastAsia="zh-CN"/>
              </w:rPr>
            </w:pPr>
            <w:r>
              <w:rPr>
                <w:rFonts w:hint="eastAsia"/>
                <w:lang w:val="en-US" w:eastAsia="zh-CN"/>
              </w:rPr>
              <w:t>显示入口车牌号码，显示剩余车位。</w:t>
            </w:r>
          </w:p>
          <w:p>
            <w:pPr>
              <w:keepNext w:val="0"/>
              <w:keepLines w:val="0"/>
              <w:widowControl/>
              <w:suppressLineNumbers w:val="0"/>
              <w:spacing w:line="240" w:lineRule="auto"/>
              <w:ind w:left="0" w:leftChars="0" w:firstLine="0" w:firstLineChars="0"/>
              <w:jc w:val="left"/>
              <w:textAlignment w:val="center"/>
              <w:rPr>
                <w:rFonts w:hint="eastAsia"/>
              </w:rPr>
            </w:pPr>
            <w:r>
              <w:rPr>
                <w:rFonts w:hint="eastAsia"/>
                <w:lang w:val="en-US" w:eastAsia="zh-CN"/>
              </w:rPr>
              <w:t>双目识别防伪车牌。</w:t>
            </w:r>
          </w:p>
          <w:p>
            <w:pPr>
              <w:keepNext w:val="0"/>
              <w:keepLines w:val="0"/>
              <w:widowControl/>
              <w:suppressLineNumbers w:val="0"/>
              <w:spacing w:line="240" w:lineRule="auto"/>
              <w:ind w:left="0" w:leftChars="0" w:firstLine="0" w:firstLineChars="0"/>
              <w:jc w:val="left"/>
              <w:textAlignment w:val="center"/>
              <w:rPr>
                <w:rFonts w:hint="eastAsia"/>
              </w:rPr>
            </w:pPr>
            <w:r>
              <w:rPr>
                <w:rFonts w:hint="eastAsia"/>
                <w:lang w:val="en-US" w:eastAsia="zh-CN"/>
              </w:rPr>
              <w:t>400万超清像机</w:t>
            </w:r>
            <w:r>
              <w:rPr>
                <w:lang w:val="en-US" w:eastAsia="zh-CN"/>
              </w:rPr>
              <w:t>，含内置LED补光灯、像机、识别模块等。</w:t>
            </w:r>
          </w:p>
          <w:p>
            <w:pPr>
              <w:widowControl/>
              <w:jc w:val="left"/>
              <w:textAlignment w:val="center"/>
              <w:rPr>
                <w:rFonts w:hint="default"/>
                <w:lang w:val="en-US"/>
              </w:rPr>
            </w:pPr>
            <w:r>
              <w:rPr>
                <w:rFonts w:hint="eastAsia"/>
                <w:lang w:val="en-US" w:eastAsia="zh-CN"/>
              </w:rPr>
              <w:t>补光设备，提高识别率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  道闸</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1、数字式车辆检测器，不含线圈,车过落杆。                        2、 补光设备，提高识别率            3、包含安装调试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2套</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default" w:ascii="宋体" w:hAnsi="宋体" w:eastAsia="宋体" w:cs="宋体"/>
                <w:i w:val="0"/>
                <w:iCs w:val="0"/>
                <w:color w:val="000000"/>
                <w:sz w:val="21"/>
                <w:szCs w:val="21"/>
                <w:u w:val="none"/>
                <w:lang w:val="en-US" w:eastAsia="zh-CN"/>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含线圈</w:t>
            </w:r>
            <w:r>
              <w:rPr>
                <w:rFonts w:hint="eastAsia" w:cs="宋体"/>
                <w:i w:val="0"/>
                <w:iCs w:val="0"/>
                <w:color w:val="000000"/>
                <w:kern w:val="0"/>
                <w:sz w:val="21"/>
                <w:szCs w:val="21"/>
                <w:u w:val="none"/>
                <w:lang w:val="en-US" w:eastAsia="zh-CN" w:bidi="ar"/>
              </w:rPr>
              <w:t>或红外雷达</w:t>
            </w:r>
            <w:r>
              <w:rPr>
                <w:rFonts w:hint="eastAsia" w:ascii="宋体" w:hAnsi="宋体" w:eastAsia="宋体" w:cs="宋体"/>
                <w:i w:val="0"/>
                <w:iCs w:val="0"/>
                <w:color w:val="000000"/>
                <w:kern w:val="0"/>
                <w:sz w:val="21"/>
                <w:szCs w:val="21"/>
                <w:u w:val="none"/>
                <w:lang w:val="en-US" w:eastAsia="zh-CN" w:bidi="ar"/>
              </w:rPr>
              <w:t>,车过落杆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补光设备，提高识别率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无人值守机器人、终控设备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无人对讲机器人</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出场LED灯收费码，扫出场码收费不用输车牌                     2、值班室双向对讲，现场语音对话</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3、司机视频及证件像机，值班室视频监视、抓拍</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一进一出</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扫出场码收费不用输车牌</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现场语音对话</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值班室视频监视、抓拍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落地 机柜</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碳钢，600*600*1200含:                1、工控机，代替岗亭电脑，使用标准版系统软件可接入智慧停车云平台软件系统 实现欠费车辆拦截（配置要求：CPUI5及以上、</w:t>
            </w:r>
            <w:r>
              <w:rPr>
                <w:rFonts w:hint="eastAsia" w:cs="宋体"/>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G固态硬盘及以上、</w:t>
            </w:r>
            <w:r>
              <w:rPr>
                <w:rFonts w:hint="eastAsia"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G内存条及以上）</w:t>
            </w: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2、21.5寸显示器</w:t>
            </w: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3、8口交换机（识别器使用）             4、空气开关、接线板</w:t>
            </w: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5、其他需安置的设备</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代替岗亭电脑使用</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标准版系统软件</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监控后端设备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施工材料及调试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安全岛</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4000*600*200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含：混凝土浇筑辅材埋设油漆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1500*600*150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含：混凝土浇筑辅材埋设油漆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600*600*150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含：混凝土浇筑辅材埋设油漆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场站标识标牌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特征描述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cs="宋体"/>
                <w:b/>
                <w:bCs/>
                <w:i w:val="0"/>
                <w:iCs w:val="0"/>
                <w:color w:val="000000"/>
                <w:sz w:val="21"/>
                <w:szCs w:val="21"/>
                <w:u w:val="none"/>
                <w:lang w:eastAsia="zh-CN"/>
              </w:rPr>
            </w:pPr>
            <w:r>
              <w:rPr>
                <w:rFonts w:hint="eastAsia" w:cs="宋体"/>
                <w:b/>
                <w:bCs/>
                <w:i w:val="0"/>
                <w:iCs w:val="0"/>
                <w:color w:val="000000"/>
                <w:sz w:val="21"/>
                <w:szCs w:val="21"/>
                <w:u w:val="none"/>
                <w:lang w:eastAsia="zh-CN"/>
              </w:rPr>
              <w:t>报价</w:t>
            </w: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cs="宋体"/>
                <w:b/>
                <w:bCs/>
                <w:i w:val="0"/>
                <w:iCs w:val="0"/>
                <w:color w:val="000000"/>
                <w:kern w:val="0"/>
                <w:sz w:val="21"/>
                <w:szCs w:val="21"/>
                <w:u w:val="none"/>
                <w:lang w:val="en-US" w:eastAsia="zh-CN" w:bidi="ar"/>
              </w:rPr>
            </w:pPr>
            <w:r>
              <w:rPr>
                <w:rFonts w:hint="eastAsia"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210" w:firstLineChars="10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6</w:t>
            </w:r>
          </w:p>
        </w:tc>
        <w:tc>
          <w:tcPr>
            <w:tcW w:w="79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标识标 牌</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温馨提示牌、岗亭四周贴、收款二维码</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户外车贴覆膜</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用于岗亭四周及其它能粘贴的位置</w:t>
            </w:r>
            <w:r>
              <w:rPr>
                <w:rFonts w:hint="eastAsia"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210" w:firstLineChars="10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7</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温馨提示牌、免责提示牌、岗亭收费公示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center"/>
              <w:rPr>
                <w:rFonts w:hint="eastAsia" w:ascii="宋体" w:hAnsi="宋体" w:eastAsia="宋体" w:cs="Times New Roman"/>
                <w:sz w:val="24"/>
                <w:szCs w:val="22"/>
                <w:lang w:val="en-US" w:eastAsia="zh-CN" w:bidi="ar-SA"/>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户外车贴复膜裱板</w:t>
            </w:r>
            <w:r>
              <w:rPr>
                <w:rFonts w:hint="eastAsia" w:cs="宋体"/>
                <w:i w:val="0"/>
                <w:iCs w:val="0"/>
                <w:color w:val="000000"/>
                <w:kern w:val="0"/>
                <w:sz w:val="22"/>
                <w:szCs w:val="22"/>
                <w:u w:val="none"/>
                <w:lang w:val="en-US" w:eastAsia="zh-CN" w:bidi="ar"/>
              </w:rPr>
              <w:t>，用于停车场周围护栏及其它能粘贴的位置及提示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210" w:firstLineChars="10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8</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道闸杆防撞贴、摄像头两侧识别车牌机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工程级反光膜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210" w:firstLineChars="10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9</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道闸杆指示牌、桥柱限高牌</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2"/>
                <w:szCs w:val="22"/>
                <w:u w:val="none"/>
                <w:lang w:val="en-US" w:eastAsia="zh-CN" w:bidi="ar"/>
              </w:rPr>
              <w:t>1块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工程级反光膜复PVC板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10</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进出口道杆标识</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2"/>
                <w:szCs w:val="22"/>
                <w:u w:val="none"/>
                <w:lang w:val="en-US" w:eastAsia="zh-CN" w:bidi="ar"/>
              </w:rPr>
              <w:t>1块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5mmPVC喷印</w:t>
            </w:r>
            <w:r>
              <w:rPr>
                <w:rFonts w:hint="eastAsia" w:cs="宋体"/>
                <w:i w:val="0"/>
                <w:iCs w:val="0"/>
                <w:color w:val="000000"/>
                <w:kern w:val="0"/>
                <w:sz w:val="22"/>
                <w:szCs w:val="22"/>
                <w:u w:val="none"/>
                <w:lang w:val="en-US" w:eastAsia="zh-CN" w:bidi="ar"/>
              </w:rPr>
              <w:t>，0.9*0.15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11</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无牌车进口收款码</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1151"/>
              </w:tabs>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宽0.45M*高0.65M*杆子1.6M高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12</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停车场提示牌及支付码</w:t>
            </w:r>
          </w:p>
          <w:p>
            <w:pPr>
              <w:pStyle w:val="2"/>
              <w:ind w:firstLine="630" w:firstLineChars="300"/>
              <w:jc w:val="center"/>
              <w:rPr>
                <w:rFonts w:hint="eastAsia"/>
                <w:lang w:val="en-US" w:eastAsia="zh-CN"/>
              </w:rPr>
            </w:pPr>
            <w:r>
              <w:rPr>
                <w:rFonts w:hint="eastAsia"/>
                <w:lang w:val="en-US" w:eastAsia="zh-CN"/>
              </w:rPr>
              <w:t>0.45*0.55*2M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20"/>
              </w:tabs>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铝板折弯3层工程级3M高级反光膜及滑槽抱箍安装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13</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rPr>
            </w:pPr>
            <w:r>
              <w:rPr>
                <w:rFonts w:hint="eastAsia"/>
              </w:rPr>
              <w:t>收费公示牌</w:t>
            </w:r>
          </w:p>
          <w:p>
            <w:pPr>
              <w:pStyle w:val="2"/>
              <w:ind w:firstLine="630" w:firstLineChars="300"/>
              <w:jc w:val="center"/>
              <w:rPr>
                <w:rFonts w:hint="eastAsia"/>
                <w:lang w:val="en-US" w:eastAsia="zh-CN"/>
              </w:rPr>
            </w:pPr>
            <w:r>
              <w:rPr>
                <w:rFonts w:hint="eastAsia"/>
                <w:lang w:val="en-US" w:eastAsia="zh-CN"/>
              </w:rPr>
              <w:t>0.8*1.2*1.6M高</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40不锈钢焊接封板复车贴加膜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14</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道路警示牌</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铝板折弯工程级反光膜及铝板滑槽抱箍安装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15</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警示牌立杆</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立杆：112镀锌圆管焊接烤漆（白色）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16</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立杆</w:t>
            </w:r>
            <w:r>
              <w:rPr>
                <w:rFonts w:hint="eastAsia" w:ascii="宋体" w:hAnsi="宋体" w:eastAsia="宋体" w:cs="宋体"/>
                <w:i w:val="0"/>
                <w:iCs w:val="0"/>
                <w:color w:val="000000"/>
                <w:kern w:val="0"/>
                <w:sz w:val="22"/>
                <w:szCs w:val="22"/>
                <w:u w:val="none"/>
                <w:lang w:val="en-US" w:eastAsia="zh-CN" w:bidi="ar"/>
              </w:rPr>
              <w:t>安装</w:t>
            </w:r>
            <w:r>
              <w:rPr>
                <w:rFonts w:hint="eastAsia" w:cs="宋体"/>
                <w:i w:val="0"/>
                <w:iCs w:val="0"/>
                <w:color w:val="000000"/>
                <w:kern w:val="0"/>
                <w:sz w:val="22"/>
                <w:szCs w:val="22"/>
                <w:u w:val="none"/>
                <w:lang w:val="en-US" w:eastAsia="zh-CN" w:bidi="ar"/>
              </w:rPr>
              <w:t>开挖</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破路</w:t>
            </w:r>
            <w:r>
              <w:rPr>
                <w:rFonts w:hint="eastAsia" w:ascii="宋体" w:hAnsi="宋体" w:eastAsia="宋体" w:cs="宋体"/>
                <w:i w:val="0"/>
                <w:iCs w:val="0"/>
                <w:color w:val="000000"/>
                <w:kern w:val="0"/>
                <w:sz w:val="22"/>
                <w:szCs w:val="22"/>
                <w:u w:val="none"/>
                <w:lang w:val="en-US" w:eastAsia="zh-CN" w:bidi="ar"/>
              </w:rPr>
              <w:t>、钢管预埋、混泥土</w:t>
            </w:r>
            <w:r>
              <w:rPr>
                <w:rFonts w:hint="eastAsia" w:cs="宋体"/>
                <w:i w:val="0"/>
                <w:iCs w:val="0"/>
                <w:color w:val="000000"/>
                <w:kern w:val="0"/>
                <w:sz w:val="22"/>
                <w:szCs w:val="22"/>
                <w:u w:val="none"/>
                <w:lang w:val="en-US" w:eastAsia="zh-CN" w:bidi="ar"/>
              </w:rPr>
              <w:t>回灌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17</w:t>
            </w:r>
          </w:p>
        </w:tc>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喷绘</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18</w:t>
            </w:r>
          </w:p>
        </w:tc>
        <w:tc>
          <w:tcPr>
            <w:tcW w:w="79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20" w:firstLineChars="200"/>
              <w:jc w:val="center"/>
              <w:textAlignment w:val="center"/>
              <w:rPr>
                <w:rFonts w:hint="eastAsia" w:ascii="宋体" w:hAnsi="宋体" w:eastAsia="宋体" w:cs="宋体"/>
                <w:i w:val="0"/>
                <w:iCs w:val="0"/>
                <w:color w:val="000000"/>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车贴裱KT板（单面）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3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FF0000"/>
                <w:kern w:val="0"/>
                <w:sz w:val="28"/>
                <w:szCs w:val="28"/>
                <w:u w:val="none"/>
                <w:lang w:val="en-US" w:eastAsia="zh-CN" w:bidi="ar"/>
              </w:rPr>
            </w:pPr>
            <w:r>
              <w:rPr>
                <w:rFonts w:hint="eastAsia" w:ascii="宋体" w:hAnsi="宋体" w:eastAsia="宋体" w:cs="宋体"/>
                <w:b/>
                <w:bCs/>
                <w:i w:val="0"/>
                <w:iCs w:val="0"/>
                <w:color w:val="FF0000"/>
                <w:kern w:val="0"/>
                <w:sz w:val="28"/>
                <w:szCs w:val="28"/>
                <w:u w:val="none"/>
                <w:lang w:val="en-US" w:eastAsia="zh-CN" w:bidi="ar"/>
              </w:rPr>
              <w:t>本表为停车场智能化设备采购项目中单个停车场设备的单项报价，相关硬件设备必须符合黄石市城市智慧停车公司智慧平台数据接入要求，软件必须能将数据上传至智慧平台。本项目按工程量清单计价，采用固定价格报价形式，最高限价50万元。</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default"/>
          <w:lang w:val="en-US"/>
        </w:rPr>
      </w:pP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A9692"/>
    <w:multiLevelType w:val="singleLevel"/>
    <w:tmpl w:val="EB7A96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NTNlMThjYjZiOWJjNTEyNDE3ZmRkNTk0MWVhZGYifQ=="/>
  </w:docVars>
  <w:rsids>
    <w:rsidRoot w:val="2F2F014F"/>
    <w:rsid w:val="2F2F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1"/>
    <w:basedOn w:val="1"/>
    <w:next w:val="1"/>
    <w:uiPriority w:val="39"/>
  </w:style>
  <w:style w:type="paragraph" w:styleId="3">
    <w:name w:val="table of authorities"/>
    <w:basedOn w:val="1"/>
    <w:next w:val="1"/>
    <w:unhideWhenUsed/>
    <w:qFormat/>
    <w:uiPriority w:val="99"/>
    <w:pPr>
      <w:ind w:left="420" w:leftChars="200"/>
    </w:pPr>
  </w:style>
  <w:style w:type="paragraph" w:styleId="4">
    <w:name w:val="Body Text"/>
    <w:basedOn w:val="1"/>
    <w:qFormat/>
    <w:uiPriority w:val="1"/>
    <w:rPr>
      <w:sz w:val="21"/>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next w:val="1"/>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2023-09-10T01:17:00Z</dcterms:created>
  <dc:creator>L</dc:creator>
  <cp:lastModifiedBy>L</cp:lastModifiedBy>
  <dcterms:modified xsi:type="dcterms:W3CDTF">2023-09-10T01:18:15Z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AF9C72D1FB89416E972F892346475089_11</vt:lpwstr>
  </property>
</Properties>
</file>