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报价单</w:t>
      </w:r>
    </w:p>
    <w:p>
      <w:pPr>
        <w:spacing w:line="520" w:lineRule="exact"/>
        <w:ind w:right="187"/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投标人全称（盖章）：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            </w:t>
      </w:r>
    </w:p>
    <w:p>
      <w:pPr>
        <w:spacing w:line="520" w:lineRule="exact"/>
        <w:ind w:right="187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法定代表人或授权代理人签字：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</w:t>
      </w:r>
    </w:p>
    <w:p>
      <w:pPr>
        <w:pStyle w:val="2"/>
        <w:rPr>
          <w:rFonts w:hint="eastAsia"/>
        </w:rPr>
      </w:pPr>
    </w:p>
    <w:tbl>
      <w:tblPr>
        <w:tblStyle w:val="4"/>
        <w:tblW w:w="45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35"/>
        <w:gridCol w:w="1485"/>
        <w:gridCol w:w="1539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序号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材料名称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规格型号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数量及单位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最高限价（元）</w:t>
            </w:r>
          </w:p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105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一个雨棚材料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 xml:space="preserve">钢柱 成品  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0.146t</w:t>
            </w:r>
          </w:p>
        </w:tc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570.25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成品钢梁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0.125t</w:t>
            </w:r>
          </w:p>
        </w:tc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488.23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钢支撑 成品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0.533t</w:t>
            </w:r>
          </w:p>
        </w:tc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膜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50m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膜结构附件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38m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1214.48</w:t>
            </w:r>
          </w:p>
        </w:tc>
      </w:tr>
    </w:tbl>
    <w:p>
      <w:pPr>
        <w:spacing w:line="440" w:lineRule="exact"/>
        <w:jc w:val="right"/>
        <w:rPr>
          <w:rFonts w:hint="eastAsia" w:ascii="宋体" w:hAnsi="宋体"/>
          <w:sz w:val="24"/>
        </w:rPr>
      </w:pPr>
    </w:p>
    <w:p>
      <w:pPr>
        <w:spacing w:line="440" w:lineRule="exact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日期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>
      <w:pPr>
        <w:spacing w:line="440" w:lineRule="exact"/>
        <w:ind w:left="-420" w:leftChars="-200" w:right="-313" w:rightChars="-149" w:firstLine="0" w:firstLineChars="0"/>
        <w:rPr>
          <w:rFonts w:hint="eastAsia" w:ascii="宋体"/>
          <w:sz w:val="21"/>
          <w:szCs w:val="21"/>
          <w:lang w:val="zh-CN"/>
        </w:rPr>
      </w:pPr>
      <w:r>
        <w:rPr>
          <w:rFonts w:hint="eastAsia" w:ascii="宋体" w:hAnsi="宋体"/>
          <w:sz w:val="21"/>
          <w:szCs w:val="21"/>
        </w:rPr>
        <w:t>注：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此表除附在投标文件中外还应单独</w:t>
      </w:r>
      <w:r>
        <w:rPr>
          <w:rFonts w:hint="eastAsia" w:ascii="宋体" w:hAnsi="宋体"/>
          <w:sz w:val="21"/>
          <w:szCs w:val="21"/>
          <w:lang w:eastAsia="zh-CN"/>
        </w:rPr>
        <w:t>密封</w:t>
      </w:r>
      <w:r>
        <w:rPr>
          <w:rFonts w:hint="eastAsia" w:ascii="宋体" w:hAnsi="宋体"/>
          <w:sz w:val="21"/>
          <w:szCs w:val="21"/>
        </w:rPr>
        <w:t>一份和</w:t>
      </w:r>
      <w:r>
        <w:rPr>
          <w:rFonts w:hint="eastAsia" w:ascii="宋体" w:hAnsi="宋体"/>
          <w:sz w:val="21"/>
          <w:szCs w:val="21"/>
          <w:lang w:eastAsia="zh-CN"/>
        </w:rPr>
        <w:t>密封的</w:t>
      </w:r>
      <w:r>
        <w:rPr>
          <w:rFonts w:hint="eastAsia" w:ascii="宋体" w:hAnsi="宋体"/>
          <w:sz w:val="21"/>
          <w:szCs w:val="21"/>
        </w:rPr>
        <w:t>投标文件一同递交，供开标时唱标使用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081F2790"/>
    <w:rsid w:val="081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2022-11-28T08:41:00Z</dcterms:created>
  <dc:creator>张鑫</dc:creator>
  <cp:lastModifiedBy>张鑫</cp:lastModifiedBy>
  <dcterms:modified xsi:type="dcterms:W3CDTF">2022-11-28T08:41:38Z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B686BC24AB9F45E0A0A8EA407C55CFF4</vt:lpwstr>
  </property>
</Properties>
</file>