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bCs/>
          <w:sz w:val="28"/>
          <w:szCs w:val="28"/>
          <w:lang w:bidi="ar"/>
        </w:rPr>
      </w:pPr>
      <w:r>
        <w:rPr>
          <w:rFonts w:hint="eastAsia"/>
          <w:b/>
          <w:bCs/>
          <w:sz w:val="28"/>
          <w:szCs w:val="28"/>
          <w:lang w:bidi="ar"/>
        </w:rPr>
        <w:t>报  价  表</w:t>
      </w:r>
    </w:p>
    <w:p>
      <w:pPr>
        <w:pStyle w:val="2"/>
        <w:rPr>
          <w:rFonts w:hint="eastAsia"/>
        </w:rPr>
      </w:pPr>
    </w:p>
    <w:tbl>
      <w:tblPr>
        <w:tblStyle w:val="5"/>
        <w:tblW w:w="5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564"/>
        <w:gridCol w:w="2001"/>
        <w:gridCol w:w="2280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序号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材料名称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规格型号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招标控制价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元/米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投标报价</w:t>
            </w:r>
          </w:p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元/米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90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>钢筋砼排水管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>承插型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DN300*30*2500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Ⅱ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>承插型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DN400*40*2500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Ⅱ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130</w:t>
            </w:r>
          </w:p>
        </w:tc>
        <w:tc>
          <w:tcPr>
            <w:tcW w:w="1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>承插型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DN500*50*2500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Ⅱ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160</w:t>
            </w:r>
          </w:p>
        </w:tc>
        <w:tc>
          <w:tcPr>
            <w:tcW w:w="1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>承插型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DN600*60*2500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Ⅱ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1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>承插型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DN800*80*2500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Ⅱ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340</w:t>
            </w:r>
          </w:p>
        </w:tc>
        <w:tc>
          <w:tcPr>
            <w:tcW w:w="1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0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>承插型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DN1000*100*2500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Ⅱ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515</w:t>
            </w:r>
          </w:p>
        </w:tc>
        <w:tc>
          <w:tcPr>
            <w:tcW w:w="1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uto"/>
                <w:kern w:val="0"/>
                <w:szCs w:val="21"/>
              </w:rPr>
            </w:pP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  <w:t>承插型</w:t>
            </w:r>
            <w:r>
              <w:rPr>
                <w:rFonts w:hint="eastAsia" w:ascii="宋体" w:hAnsi="宋体" w:eastAsia="宋体"/>
                <w:color w:val="auto"/>
                <w:kern w:val="0"/>
                <w:szCs w:val="21"/>
                <w:lang w:val="en-US" w:eastAsia="zh-CN"/>
              </w:rPr>
              <w:t xml:space="preserve"> DN1200*120*2500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Ⅱ</w:t>
            </w:r>
          </w:p>
        </w:tc>
        <w:tc>
          <w:tcPr>
            <w:tcW w:w="1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760</w:t>
            </w:r>
          </w:p>
        </w:tc>
        <w:tc>
          <w:tcPr>
            <w:tcW w:w="1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pStyle w:val="2"/>
        <w:ind w:firstLine="3150" w:firstLineChars="1500"/>
        <w:rPr>
          <w:rFonts w:hint="eastAsia"/>
          <w:lang w:eastAsia="zh-CN"/>
        </w:rPr>
      </w:pPr>
    </w:p>
    <w:p>
      <w:pPr>
        <w:pStyle w:val="4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 w:bidi="ar-SA"/>
        </w:rPr>
        <w:t>综合单价为全费用价格，需包含产品、运输费、保险费、增值税、专利技术、质保及售后、指导安装等伴随服务费。</w:t>
      </w:r>
    </w:p>
    <w:p>
      <w:pPr>
        <w:spacing w:line="480" w:lineRule="auto"/>
        <w:ind w:firstLine="5280" w:firstLineChars="2200"/>
        <w:rPr>
          <w:rFonts w:hint="eastAsia"/>
          <w:sz w:val="24"/>
          <w:szCs w:val="24"/>
          <w:highlight w:val="none"/>
          <w:lang w:bidi="ar"/>
        </w:rPr>
      </w:pPr>
      <w:r>
        <w:rPr>
          <w:rFonts w:hint="eastAsia"/>
          <w:sz w:val="24"/>
          <w:szCs w:val="24"/>
          <w:highlight w:val="none"/>
          <w:lang w:bidi="ar"/>
        </w:rPr>
        <w:t>投 标 人（盖章）：</w:t>
      </w:r>
    </w:p>
    <w:p>
      <w:pPr>
        <w:spacing w:line="480" w:lineRule="auto"/>
        <w:ind w:firstLine="3828" w:firstLineChars="1595"/>
        <w:rPr>
          <w:sz w:val="24"/>
        </w:rPr>
      </w:pPr>
      <w:r>
        <w:rPr>
          <w:rFonts w:hint="eastAsia"/>
          <w:sz w:val="24"/>
          <w:lang w:bidi="ar"/>
        </w:rPr>
        <w:t>法定代表人或授权代理人（签字或盖章）：</w:t>
      </w:r>
    </w:p>
    <w:p>
      <w:pPr>
        <w:spacing w:line="480" w:lineRule="auto"/>
        <w:ind w:firstLine="5390" w:firstLineChars="1925"/>
        <w:rPr>
          <w:sz w:val="24"/>
        </w:rPr>
      </w:pPr>
      <w:r>
        <w:rPr>
          <w:rFonts w:hint="eastAsia"/>
          <w:sz w:val="28"/>
          <w:szCs w:val="28"/>
          <w:lang w:bidi="ar"/>
        </w:rPr>
        <w:t xml:space="preserve"> 年    月    日</w:t>
      </w:r>
    </w:p>
    <w:p>
      <w:pPr>
        <w:spacing w:line="520" w:lineRule="exact"/>
        <w:ind w:left="1581" w:hanging="1581" w:hangingChars="525"/>
        <w:jc w:val="center"/>
        <w:outlineLvl w:val="0"/>
        <w:rPr>
          <w:b/>
          <w:sz w:val="30"/>
          <w:szCs w:val="30"/>
        </w:rPr>
      </w:pPr>
    </w:p>
    <w:p>
      <w:pPr>
        <w:spacing w:line="520" w:lineRule="exact"/>
        <w:ind w:left="1581" w:hanging="1581" w:hangingChars="525"/>
        <w:jc w:val="center"/>
        <w:outlineLvl w:val="0"/>
        <w:rPr>
          <w:b/>
          <w:sz w:val="30"/>
          <w:szCs w:val="30"/>
        </w:rPr>
      </w:pPr>
    </w:p>
    <w:p>
      <w:pPr>
        <w:spacing w:line="440" w:lineRule="exact"/>
        <w:ind w:left="-420" w:leftChars="-200" w:right="-313" w:rightChars="-149" w:firstLine="0" w:firstLineChars="0"/>
        <w:rPr>
          <w:rFonts w:hint="eastAsia" w:ascii="宋体"/>
          <w:sz w:val="21"/>
          <w:szCs w:val="21"/>
          <w:lang w:val="zh-CN"/>
        </w:rPr>
      </w:pPr>
      <w:r>
        <w:rPr>
          <w:rFonts w:hint="eastAsia" w:ascii="宋体" w:hAnsi="宋体"/>
          <w:sz w:val="21"/>
          <w:szCs w:val="21"/>
        </w:rPr>
        <w:t>注：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此表除附在投标文件中外还应单独</w:t>
      </w:r>
      <w:r>
        <w:rPr>
          <w:rFonts w:hint="eastAsia" w:ascii="宋体" w:hAnsi="宋体"/>
          <w:sz w:val="21"/>
          <w:szCs w:val="21"/>
          <w:lang w:eastAsia="zh-CN"/>
        </w:rPr>
        <w:t>密封</w:t>
      </w:r>
      <w:r>
        <w:rPr>
          <w:rFonts w:hint="eastAsia" w:ascii="宋体" w:hAnsi="宋体"/>
          <w:sz w:val="21"/>
          <w:szCs w:val="21"/>
        </w:rPr>
        <w:t>一份和</w:t>
      </w:r>
      <w:r>
        <w:rPr>
          <w:rFonts w:hint="eastAsia" w:ascii="宋体" w:hAnsi="宋体"/>
          <w:sz w:val="21"/>
          <w:szCs w:val="21"/>
          <w:lang w:eastAsia="zh-CN"/>
        </w:rPr>
        <w:t>密封的</w:t>
      </w:r>
      <w:r>
        <w:rPr>
          <w:rFonts w:hint="eastAsia" w:ascii="宋体" w:hAnsi="宋体"/>
          <w:sz w:val="21"/>
          <w:szCs w:val="21"/>
        </w:rPr>
        <w:t>投标文件一同递交，供开标时唱标使用</w:t>
      </w:r>
    </w:p>
    <w:p>
      <w:pPr>
        <w:pStyle w:val="2"/>
        <w:ind w:firstLine="3150" w:firstLineChars="1500"/>
        <w:rPr>
          <w:rFonts w:hint="eastAsia"/>
          <w:lang w:eastAsia="zh-CN"/>
        </w:rPr>
      </w:pPr>
    </w:p>
    <w:p>
      <w:pPr>
        <w:pStyle w:val="2"/>
        <w:ind w:firstLine="3150" w:firstLineChars="1500"/>
        <w:rPr>
          <w:rFonts w:hint="eastAsia"/>
          <w:lang w:eastAsia="zh-CN"/>
        </w:rPr>
      </w:pPr>
    </w:p>
    <w:p>
      <w:pPr>
        <w:spacing w:line="400" w:lineRule="exact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 w:bidi="ar"/>
        </w:rPr>
      </w:pPr>
    </w:p>
    <w:p>
      <w:pPr>
        <w:spacing w:line="400" w:lineRule="exact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 w:bidi="ar"/>
        </w:rPr>
      </w:pPr>
    </w:p>
    <w:p>
      <w:pPr>
        <w:spacing w:line="400" w:lineRule="exact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 w:bidi="ar"/>
        </w:rPr>
      </w:pPr>
    </w:p>
    <w:p>
      <w:pPr>
        <w:spacing w:line="400" w:lineRule="exact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MzU5MDEyY2RlODU0MTRhZWY0MzVhYmE5NmFjZmUifQ=="/>
  </w:docVars>
  <w:rsids>
    <w:rsidRoot w:val="5143080F"/>
    <w:rsid w:val="5143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2022-11-17T08:58:00Z</dcterms:created>
  <dc:creator>张鑫</dc:creator>
  <cp:lastModifiedBy>张鑫</cp:lastModifiedBy>
  <dcterms:modified xsi:type="dcterms:W3CDTF">2022-11-17T08:58:11Z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DA4A94672BAB479C8B9D182CFC41A8B0</vt:lpwstr>
  </property>
</Properties>
</file>