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5A5A5A"/>
          <w:spacing w:val="0"/>
          <w:sz w:val="36"/>
          <w:szCs w:val="36"/>
        </w:rPr>
      </w:pPr>
      <w:r>
        <w:rPr>
          <w:rStyle w:val="7"/>
          <w:rFonts w:ascii="仿宋" w:hAnsi="仿宋" w:eastAsia="仿宋" w:cs="仿宋"/>
          <w:b/>
          <w:bCs/>
          <w:i w:val="0"/>
          <w:iCs w:val="0"/>
          <w:caps w:val="0"/>
          <w:color w:val="5A5A5A"/>
          <w:spacing w:val="0"/>
          <w:sz w:val="31"/>
          <w:szCs w:val="31"/>
          <w:shd w:val="clear" w:color="auto" w:fill="FFFFFF"/>
        </w:rPr>
        <w:t>评分办法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840"/>
        <w:gridCol w:w="1481"/>
        <w:gridCol w:w="1017"/>
        <w:gridCol w:w="4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条款号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评分因素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标准分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0）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1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投标报价得分</w:t>
            </w:r>
          </w:p>
        </w:tc>
        <w:tc>
          <w:tcPr>
            <w:tcW w:w="10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1、有效投标报价：即通过初步评审的投标人的投标报价为有效投标报价，如果有效投标个数少于3个（不含），则招标人应当重新组织招标。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2、评标基准价的确定：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评标基准价=投标人投标报价的算数平均数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3、以评标基数为基准，等于评标基数的得50分。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总报价高于基准价1.0%的扣1分，以此类推，计算公式为：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价格得分=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-[（投标报价-基准价）/基准价]×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×1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总报价每低于基准价1.0%的扣0.5分，以此类推，计算公式为：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价格得分=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-[（基准价-投标报价）/基准价]×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×0.5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（小数点后保留两位有效数字）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14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施工组织设计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科学、合理、针对性强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合理、可行         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欠合理，基本可行   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不可行，不能满足招标文件要求   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20094DFA"/>
    <w:rsid w:val="200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2022-10-28T09:27:00Z</dcterms:created>
  <dc:creator>张鑫</dc:creator>
  <cp:lastModifiedBy>张鑫</cp:lastModifiedBy>
  <dcterms:modified xsi:type="dcterms:W3CDTF">2022-10-28T09:27:42Z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3A0956CDFC2B4DE4B89FEE108AF7D233</vt:lpwstr>
  </property>
</Properties>
</file>